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5"/>
        <w:jc w:val="center"/>
        <w:spacing w:line="360" w:lineRule="auto"/>
        <w:rPr>
          <w:rFonts w:hint="eastAsia" w:ascii="宋体" w:hAnsi="宋体" w:cs="宋体"/>
          <w:b/>
          <w:sz w:val="52"/>
          <w:szCs w:val="52"/>
        </w:rPr>
      </w:pPr>
      <w:r>
        <w:rPr>
          <w:rFonts w:hint="eastAsia" w:ascii="宋体" w:hAnsi="宋体" w:cs="宋体"/>
          <w:b/>
          <w:sz w:val="52"/>
          <w:szCs w:val="52"/>
        </w:rPr>
      </w:r>
      <w:r/>
    </w:p>
    <w:p>
      <w:pPr>
        <w:pStyle w:val="1275"/>
        <w:jc w:val="center"/>
        <w:spacing w:line="360" w:lineRule="auto"/>
        <w:rPr>
          <w:rFonts w:hint="eastAsia" w:ascii="宋体" w:hAnsi="宋体" w:cs="宋体"/>
          <w:b/>
          <w:sz w:val="52"/>
          <w:szCs w:val="52"/>
        </w:rPr>
      </w:pPr>
      <w:r>
        <w:rPr>
          <w:rFonts w:hint="eastAsia" w:ascii="宋体" w:hAnsi="宋体" w:cs="宋体"/>
          <w:b/>
          <w:sz w:val="52"/>
          <w:szCs w:val="52"/>
        </w:rPr>
        <w:t xml:space="preserve">江苏省计量科学研究院</w:t>
      </w:r>
      <w:r>
        <w:rPr>
          <w:rFonts w:hint="eastAsia" w:ascii="宋体" w:hAnsi="宋体" w:cs="宋体"/>
          <w:b/>
          <w:sz w:val="52"/>
          <w:szCs w:val="52"/>
        </w:rPr>
      </w:r>
      <w:r/>
    </w:p>
    <w:p>
      <w:pPr>
        <w:pStyle w:val="1275"/>
        <w:jc w:val="center"/>
        <w:spacing w:line="360" w:lineRule="auto"/>
        <w:rPr>
          <w:rFonts w:hint="eastAsia" w:ascii="宋体" w:hAnsi="宋体" w:cs="宋体"/>
          <w:b/>
          <w:sz w:val="52"/>
          <w:szCs w:val="52"/>
        </w:rPr>
      </w:pPr>
      <w:r>
        <w:rPr>
          <w:rFonts w:hint="eastAsia" w:ascii="宋体" w:hAnsi="宋体" w:cs="宋体"/>
          <w:b/>
          <w:sz w:val="52"/>
          <w:szCs w:val="52"/>
        </w:rPr>
        <w:t xml:space="preserve">（江苏省能源计量数据中心）</w:t>
      </w:r>
      <w:r>
        <w:rPr>
          <w:rFonts w:hint="eastAsia" w:ascii="宋体" w:hAnsi="宋体" w:cs="宋体"/>
          <w:b/>
          <w:sz w:val="52"/>
          <w:szCs w:val="52"/>
        </w:rPr>
      </w:r>
      <w:r/>
    </w:p>
    <w:p>
      <w:pPr>
        <w:pStyle w:val="1275"/>
        <w:jc w:val="center"/>
        <w:spacing w:line="360" w:lineRule="auto"/>
        <w:rPr>
          <w:rFonts w:hint="eastAsia" w:ascii="宋体" w:hAnsi="宋体" w:cs="宋体"/>
          <w:bCs/>
          <w:sz w:val="52"/>
          <w:szCs w:val="52"/>
        </w:rPr>
      </w:pPr>
      <w:r>
        <w:rPr>
          <w:rFonts w:hint="eastAsia" w:ascii="宋体" w:hAnsi="宋体" w:cs="宋体"/>
          <w:bCs/>
          <w:sz w:val="52"/>
          <w:szCs w:val="52"/>
        </w:rPr>
      </w:r>
      <w:r/>
    </w:p>
    <w:p>
      <w:pPr>
        <w:pStyle w:val="1275"/>
        <w:jc w:val="center"/>
        <w:spacing w:line="360" w:lineRule="auto"/>
        <w:rPr>
          <w:rFonts w:hint="eastAsia" w:ascii="宋体" w:cs="宋体"/>
          <w:sz w:val="52"/>
          <w:szCs w:val="52"/>
          <w:highlight w:val="green"/>
        </w:rPr>
      </w:pPr>
      <w:r>
        <w:rPr>
          <w:rFonts w:hint="eastAsia" w:ascii="宋体" w:cs="宋体"/>
          <w:sz w:val="52"/>
          <w:szCs w:val="52"/>
        </w:rPr>
        <w:t xml:space="preserve">高频微波场强标准装置等设备采购</w:t>
      </w:r>
      <w:r>
        <w:rPr>
          <w:rFonts w:hint="eastAsia" w:ascii="宋体" w:cs="宋体"/>
          <w:sz w:val="52"/>
          <w:szCs w:val="52"/>
          <w:highlight w:val="green"/>
        </w:rPr>
      </w:r>
      <w:r/>
    </w:p>
    <w:p>
      <w:pPr>
        <w:pStyle w:val="1293"/>
        <w:ind w:left="1260"/>
        <w:rPr>
          <w:rFonts w:hint="eastAsia"/>
        </w:rPr>
      </w:pPr>
      <w:r>
        <w:rPr>
          <w:rFonts w:hint="eastAsia"/>
        </w:rPr>
      </w:r>
      <w:r/>
    </w:p>
    <w:p>
      <w:pPr>
        <w:pStyle w:val="1275"/>
        <w:spacing w:line="360" w:lineRule="auto"/>
        <w:rPr>
          <w:rFonts w:hint="eastAsia" w:ascii="宋体" w:hAnsi="宋体" w:cs="宋体"/>
          <w:bCs/>
          <w:sz w:val="72"/>
          <w:szCs w:val="72"/>
        </w:rPr>
      </w:pPr>
      <w:r>
        <w:rPr>
          <w:rFonts w:hint="eastAsia" w:ascii="宋体" w:hAnsi="宋体" w:cs="宋体"/>
          <w:bCs/>
          <w:sz w:val="72"/>
          <w:szCs w:val="72"/>
        </w:rPr>
      </w:r>
      <w:r/>
    </w:p>
    <w:p>
      <w:pPr>
        <w:pStyle w:val="1275"/>
        <w:jc w:val="center"/>
        <w:spacing w:line="360" w:lineRule="auto"/>
        <w:rPr>
          <w:rFonts w:hint="eastAsia" w:ascii="宋体" w:hAnsi="宋体" w:cs="宋体"/>
          <w:bCs/>
          <w:sz w:val="72"/>
          <w:szCs w:val="72"/>
        </w:rPr>
      </w:pPr>
      <w:r>
        <w:rPr>
          <w:rFonts w:hint="eastAsia" w:ascii="宋体" w:hAnsi="宋体" w:cs="宋体"/>
          <w:bCs/>
          <w:sz w:val="72"/>
          <w:szCs w:val="72"/>
        </w:rPr>
        <w:t xml:space="preserve">招标文件</w:t>
      </w:r>
      <w:r>
        <w:rPr>
          <w:rFonts w:hint="eastAsia" w:ascii="宋体" w:hAnsi="宋体" w:cs="宋体"/>
          <w:bCs/>
          <w:sz w:val="72"/>
          <w:szCs w:val="72"/>
        </w:rPr>
      </w:r>
      <w:r/>
    </w:p>
    <w:p>
      <w:pPr>
        <w:pStyle w:val="1275"/>
        <w:jc w:val="center"/>
        <w:spacing w:line="360" w:lineRule="auto"/>
        <w:rPr>
          <w:rFonts w:hint="eastAsia" w:ascii="宋体" w:hAnsi="宋体" w:cs="宋体"/>
          <w:bCs/>
          <w:sz w:val="36"/>
        </w:rPr>
      </w:pPr>
      <w:r>
        <w:rPr>
          <w:rFonts w:hint="eastAsia" w:ascii="宋体" w:hAnsi="宋体" w:cs="宋体"/>
          <w:bCs/>
          <w:sz w:val="36"/>
        </w:rPr>
      </w:r>
      <w:r/>
    </w:p>
    <w:p>
      <w:pPr>
        <w:pStyle w:val="1275"/>
        <w:spacing w:line="440" w:lineRule="exact"/>
        <w:rPr>
          <w:rFonts w:hint="eastAsia" w:ascii="宋体" w:hAnsi="宋体" w:cs="宋体"/>
          <w:bCs/>
          <w:sz w:val="52"/>
        </w:rPr>
      </w:pPr>
      <w:r>
        <w:rPr>
          <w:rFonts w:hint="eastAsia" w:ascii="宋体" w:hAnsi="宋体" w:cs="宋体"/>
          <w:bCs/>
          <w:sz w:val="52"/>
        </w:rPr>
      </w:r>
      <w:r/>
    </w:p>
    <w:p>
      <w:pPr>
        <w:pStyle w:val="1275"/>
        <w:spacing w:line="360" w:lineRule="auto"/>
        <w:rPr>
          <w:bCs/>
          <w:sz w:val="28"/>
          <w:szCs w:val="21"/>
        </w:rPr>
      </w:pPr>
      <w:r>
        <w:rPr>
          <w:bCs/>
          <w:sz w:val="28"/>
          <w:szCs w:val="21"/>
        </w:rPr>
      </w:r>
      <w:r/>
    </w:p>
    <w:p>
      <w:pPr>
        <w:pStyle w:val="1275"/>
        <w:ind w:firstLine="280"/>
        <w:spacing w:line="360" w:lineRule="auto"/>
        <w:rPr>
          <w:bCs/>
          <w:sz w:val="28"/>
          <w:szCs w:val="21"/>
        </w:rPr>
      </w:pPr>
      <w:r>
        <w:rPr>
          <w:bCs/>
          <w:sz w:val="28"/>
          <w:szCs w:val="21"/>
        </w:rPr>
      </w:r>
      <w:r/>
    </w:p>
    <w:p>
      <w:pPr>
        <w:pStyle w:val="1275"/>
        <w:jc w:val="center"/>
        <w:spacing w:line="360" w:lineRule="auto"/>
        <w:rPr>
          <w:rFonts w:hint="eastAsia" w:ascii="Arial" w:hAnsi="Arial" w:cs="Arial"/>
          <w:bCs/>
          <w:sz w:val="32"/>
          <w:szCs w:val="32"/>
          <w:highlight w:val="yellow"/>
        </w:rPr>
      </w:pPr>
      <w:r>
        <w:rPr>
          <w:rFonts w:ascii="Arial" w:hAnsi="Arial" w:cs="Arial"/>
          <w:bCs/>
          <w:sz w:val="32"/>
          <w:szCs w:val="32"/>
        </w:rPr>
        <w:t xml:space="preserve">项目编号：</w:t>
      </w:r>
      <w:r>
        <w:rPr>
          <w:rFonts w:hint="eastAsia"/>
          <w:bCs/>
          <w:sz w:val="32"/>
          <w:szCs w:val="32"/>
        </w:rPr>
        <w:t xml:space="preserve">2640SUMEC/ZWGG2</w:t>
      </w:r>
      <w:r>
        <w:rPr>
          <w:rFonts w:hint="eastAsia"/>
          <w:bCs/>
          <w:sz w:val="32"/>
          <w:szCs w:val="32"/>
          <w:highlight w:val="none"/>
        </w:rPr>
        <w:t xml:space="preserve">026（</w:t>
      </w:r>
      <w:r>
        <w:rPr>
          <w:rFonts w:hint="eastAsia"/>
          <w:bCs/>
          <w:sz w:val="32"/>
          <w:szCs w:val="32"/>
          <w:highlight w:val="none"/>
          <w:lang w:eastAsia="zh-CN"/>
        </w:rPr>
        <w:t xml:space="preserve">JSZC-320000-SMDY-G2026-0008</w:t>
      </w:r>
      <w:r>
        <w:rPr>
          <w:rFonts w:hint="eastAsia"/>
          <w:bCs/>
          <w:sz w:val="32"/>
          <w:szCs w:val="32"/>
          <w:highlight w:val="none"/>
        </w:rPr>
        <w:t xml:space="preserve">）</w:t>
      </w:r>
      <w:r>
        <w:rPr>
          <w:rFonts w:hint="eastAsia" w:ascii="Arial" w:hAnsi="Arial" w:cs="Arial"/>
          <w:bCs/>
          <w:sz w:val="32"/>
          <w:szCs w:val="32"/>
          <w:highlight w:val="yellow"/>
        </w:rPr>
      </w:r>
      <w:r/>
    </w:p>
    <w:p>
      <w:pPr>
        <w:pStyle w:val="1275"/>
        <w:jc w:val="center"/>
        <w:spacing w:line="360" w:lineRule="auto"/>
        <w:rPr>
          <w:rFonts w:hint="eastAsia" w:ascii="Arial" w:hAnsi="Arial" w:cs="Arial"/>
          <w:bCs/>
          <w:sz w:val="32"/>
          <w:szCs w:val="32"/>
        </w:rPr>
      </w:pPr>
      <w:r>
        <w:rPr>
          <w:rFonts w:hint="eastAsia" w:ascii="Arial" w:hAnsi="Arial" w:cs="Arial"/>
          <w:bCs/>
          <w:sz w:val="32"/>
          <w:szCs w:val="32"/>
        </w:rPr>
        <w:t xml:space="preserve">采购人：江苏省计量科学研究院（江苏省能源计量数据中心）</w:t>
      </w:r>
      <w:r>
        <w:rPr>
          <w:rFonts w:hint="eastAsia" w:ascii="Arial" w:hAnsi="Arial" w:cs="Arial"/>
          <w:bCs/>
          <w:sz w:val="32"/>
          <w:szCs w:val="32"/>
        </w:rPr>
      </w:r>
      <w:r/>
    </w:p>
    <w:p>
      <w:pPr>
        <w:pStyle w:val="1275"/>
        <w:jc w:val="center"/>
        <w:spacing w:line="360" w:lineRule="auto"/>
        <w:rPr>
          <w:rFonts w:ascii="Arial" w:hAnsi="Arial" w:cs="Arial"/>
          <w:bCs/>
          <w:sz w:val="32"/>
          <w:szCs w:val="32"/>
        </w:rPr>
      </w:pPr>
      <w:r>
        <w:rPr>
          <w:rFonts w:ascii="Arial" w:hAnsi="Arial" w:cs="Arial"/>
          <w:bCs/>
          <w:sz w:val="32"/>
          <w:szCs w:val="32"/>
        </w:rPr>
        <w:t xml:space="preserve">采购代理机构：江苏苏美达仪器设备有限公司</w:t>
      </w:r>
      <w:r>
        <w:rPr>
          <w:rFonts w:ascii="Arial" w:hAnsi="Arial" w:cs="Arial"/>
          <w:bCs/>
          <w:sz w:val="32"/>
          <w:szCs w:val="32"/>
        </w:rPr>
      </w:r>
      <w:r/>
    </w:p>
    <w:p>
      <w:pPr>
        <w:pStyle w:val="1275"/>
        <w:spacing w:line="360" w:lineRule="auto"/>
        <w:rPr>
          <w:bCs/>
          <w:sz w:val="28"/>
          <w:szCs w:val="21"/>
        </w:rPr>
      </w:pPr>
      <w:r>
        <w:rPr>
          <w:bCs/>
          <w:sz w:val="28"/>
          <w:szCs w:val="21"/>
        </w:rPr>
      </w:r>
      <w:r/>
    </w:p>
    <w:p>
      <w:pPr>
        <w:pStyle w:val="1275"/>
        <w:jc w:val="center"/>
        <w:spacing w:line="360" w:lineRule="auto"/>
        <w:rPr>
          <w:rFonts w:ascii="Arial" w:hAnsi="Arial" w:cs="Arial"/>
          <w:bCs/>
          <w:sz w:val="36"/>
          <w:szCs w:val="36"/>
        </w:rPr>
      </w:pPr>
      <w:r>
        <w:rPr>
          <w:bCs/>
          <w:sz w:val="36"/>
          <w:szCs w:val="36"/>
        </w:rPr>
        <w:t xml:space="preserve">202</w:t>
      </w:r>
      <w:r>
        <w:rPr>
          <w:rFonts w:hint="eastAsia"/>
          <w:bCs/>
          <w:sz w:val="36"/>
          <w:szCs w:val="36"/>
        </w:rPr>
        <w:t xml:space="preserve">6</w:t>
      </w:r>
      <w:r>
        <w:rPr>
          <w:rFonts w:ascii="Arial" w:hAnsi="Arial" w:cs="Arial"/>
          <w:bCs/>
          <w:sz w:val="36"/>
          <w:szCs w:val="36"/>
        </w:rPr>
        <w:t xml:space="preserve">年</w:t>
      </w:r>
      <w:r>
        <w:rPr>
          <w:rFonts w:hint="eastAsia"/>
          <w:bCs/>
          <w:sz w:val="36"/>
          <w:szCs w:val="36"/>
        </w:rPr>
        <w:t xml:space="preserve">3</w:t>
      </w:r>
      <w:r>
        <w:rPr>
          <w:rFonts w:ascii="Arial" w:hAnsi="Arial" w:cs="Arial"/>
          <w:bCs/>
          <w:sz w:val="36"/>
          <w:szCs w:val="36"/>
        </w:rPr>
        <w:t xml:space="preserve">月</w:t>
      </w:r>
      <w:r>
        <w:rPr>
          <w:rFonts w:ascii="Arial" w:hAnsi="Arial" w:cs="Arial"/>
          <w:bCs/>
          <w:sz w:val="36"/>
          <w:szCs w:val="36"/>
        </w:rPr>
      </w:r>
      <w:r/>
    </w:p>
    <w:p>
      <w:pPr>
        <w:pStyle w:val="1275"/>
        <w:jc w:val="center"/>
        <w:spacing w:line="360" w:lineRule="auto"/>
        <w:rPr>
          <w:rFonts w:hint="eastAsia" w:ascii="Arial" w:hAnsi="Arial" w:eastAsia="隶书" w:cs="Arial"/>
          <w:bCs/>
          <w:sz w:val="36"/>
          <w:szCs w:val="21"/>
        </w:rPr>
      </w:pPr>
      <w:r>
        <w:rPr>
          <w:rFonts w:hint="eastAsia" w:ascii="Arial" w:hAnsi="Arial" w:eastAsia="隶书" w:cs="Arial"/>
          <w:bCs/>
          <w:sz w:val="36"/>
          <w:szCs w:val="21"/>
        </w:rPr>
        <w:t xml:space="preserve">         </w:t>
      </w:r>
      <w:r>
        <w:rPr>
          <w:rFonts w:hint="eastAsia" w:ascii="Arial" w:hAnsi="Arial" w:eastAsia="隶书" w:cs="Arial"/>
          <w:bCs/>
          <w:sz w:val="36"/>
          <w:szCs w:val="21"/>
        </w:rPr>
      </w:r>
      <w:r/>
    </w:p>
    <w:p>
      <w:pPr>
        <w:pStyle w:val="1275"/>
        <w:jc w:val="center"/>
        <w:spacing w:line="360" w:lineRule="auto"/>
        <w:rPr>
          <w:rFonts w:ascii="Arial" w:hAnsi="Arial" w:eastAsia="隶书" w:cs="Arial"/>
          <w:bCs/>
          <w:sz w:val="36"/>
          <w:szCs w:val="21"/>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934" w:header="851" w:footer="992" w:gutter="0"/>
          <w:pgNumType w:start="1"/>
          <w:cols w:num="1" w:sep="0" w:space="1701" w:equalWidth="1"/>
          <w:docGrid w:linePitch="360"/>
        </w:sectPr>
      </w:pPr>
      <w:r>
        <w:rPr>
          <w:rFonts w:ascii="Arial" w:hAnsi="Arial" w:eastAsia="隶书" w:cs="Arial"/>
          <w:bCs/>
          <w:sz w:val="36"/>
          <w:szCs w:val="21"/>
        </w:rPr>
      </w:r>
      <w:r/>
    </w:p>
    <w:p>
      <w:pPr>
        <w:pStyle w:val="1275"/>
        <w:jc w:val="center"/>
        <w:spacing w:line="440" w:lineRule="exact"/>
        <w:rPr>
          <w:rFonts w:ascii="Arial" w:hAnsi="Arial" w:eastAsia="黑体" w:cs="Arial"/>
          <w:b/>
          <w:sz w:val="32"/>
        </w:rPr>
      </w:pPr>
      <w:r>
        <w:rPr>
          <w:rFonts w:ascii="Arial" w:hAnsi="Arial" w:eastAsia="黑体" w:cs="Arial"/>
          <w:b/>
          <w:sz w:val="32"/>
        </w:rPr>
        <w:t xml:space="preserve">目   录</w:t>
      </w:r>
      <w:r>
        <w:rPr>
          <w:rFonts w:ascii="Arial" w:hAnsi="Arial" w:eastAsia="黑体" w:cs="Arial"/>
          <w:b/>
          <w:sz w:val="32"/>
        </w:rPr>
      </w:r>
      <w:r/>
    </w:p>
    <w:p>
      <w:pPr>
        <w:pStyle w:val="1303"/>
        <w:tabs>
          <w:tab w:val="right" w:pos="9638" w:leader="dot"/>
        </w:tabs>
      </w:pPr>
      <w:r>
        <w:rPr>
          <w:rFonts w:ascii="Arial" w:hAnsi="Arial" w:eastAsia="黑体" w:cs="Arial"/>
          <w:bCs/>
          <w:sz w:val="24"/>
        </w:rPr>
        <w:fldChar w:fldCharType="begin"/>
      </w:r>
      <w:r>
        <w:rPr>
          <w:rFonts w:ascii="Arial" w:hAnsi="Arial" w:eastAsia="黑体" w:cs="Arial"/>
          <w:bCs/>
          <w:sz w:val="24"/>
        </w:rPr>
        <w:instrText xml:space="preserve">TOC \o "1-3" \h \u </w:instrText>
      </w:r>
      <w:r>
        <w:rPr>
          <w:rFonts w:ascii="Arial" w:hAnsi="Arial" w:eastAsia="黑体" w:cs="Arial"/>
          <w:bCs/>
          <w:sz w:val="24"/>
        </w:rPr>
        <w:fldChar w:fldCharType="separate"/>
      </w:r>
      <w:r>
        <w:rPr>
          <w:rFonts w:ascii="Arial" w:hAnsi="Arial" w:eastAsia="黑体" w:cs="Arial"/>
          <w:bCs/>
        </w:rPr>
        <w:fldChar w:fldCharType="begin"/>
      </w:r>
      <w:r>
        <w:rPr>
          <w:rFonts w:ascii="Arial" w:hAnsi="Arial" w:eastAsia="黑体" w:cs="Arial"/>
          <w:bCs/>
        </w:rPr>
        <w:instrText xml:space="preserve"> HYPERLINK \l _Toc22539 </w:instrText>
      </w:r>
      <w:r>
        <w:rPr>
          <w:rFonts w:ascii="Arial" w:hAnsi="Arial" w:eastAsia="黑体" w:cs="Arial"/>
          <w:bCs/>
        </w:rPr>
        <w:fldChar w:fldCharType="separate"/>
      </w:r>
      <w:r>
        <w:rPr>
          <w:rFonts w:hint="eastAsia" w:ascii="Arial" w:hAnsi="Arial" w:eastAsia="黑体" w:cs="Arial"/>
          <w:szCs w:val="28"/>
        </w:rPr>
        <w:t xml:space="preserve">第一章 招标公告</w:t>
      </w:r>
      <w:r>
        <w:tab/>
      </w:r>
      <w:r>
        <w:fldChar w:fldCharType="begin"/>
      </w:r>
      <w:r>
        <w:instrText xml:space="preserve"> PAGEREF _Toc22539 \h </w:instrText>
      </w:r>
      <w:r>
        <w:fldChar w:fldCharType="separate"/>
      </w:r>
      <w:r>
        <w:t xml:space="preserve">4</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_Toc18511 </w:instrText>
      </w:r>
      <w:r>
        <w:rPr>
          <w:rFonts w:ascii="Arial" w:hAnsi="Arial" w:eastAsia="黑体" w:cs="Arial"/>
          <w:bCs/>
        </w:rPr>
        <w:fldChar w:fldCharType="separate"/>
      </w:r>
      <w:r>
        <w:rPr>
          <w:rFonts w:hint="eastAsia" w:ascii="宋体" w:hAnsi="宋体" w:eastAsia="宋体" w:cs="宋体"/>
          <w:szCs w:val="21"/>
        </w:rPr>
        <w:t xml:space="preserve">一、项目基本情况</w:t>
      </w:r>
      <w:r>
        <w:tab/>
      </w:r>
      <w:r>
        <w:fldChar w:fldCharType="begin"/>
      </w:r>
      <w:r>
        <w:instrText xml:space="preserve"> PAGEREF _Toc18511 \h </w:instrText>
      </w:r>
      <w:r>
        <w:fldChar w:fldCharType="separate"/>
      </w:r>
      <w:r>
        <w:t xml:space="preserve">4</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_Toc32577 </w:instrText>
      </w:r>
      <w:r>
        <w:rPr>
          <w:rFonts w:ascii="Arial" w:hAnsi="Arial" w:eastAsia="黑体" w:cs="Arial"/>
          <w:bCs/>
        </w:rPr>
        <w:fldChar w:fldCharType="separate"/>
      </w:r>
      <w:r>
        <w:rPr>
          <w:rFonts w:hint="eastAsia" w:ascii="宋体" w:hAnsi="宋体" w:eastAsia="宋体" w:cs="宋体"/>
          <w:szCs w:val="21"/>
        </w:rPr>
        <w:t xml:space="preserve">二、申请人的资格要求：</w:t>
      </w:r>
      <w:r>
        <w:tab/>
      </w:r>
      <w:r>
        <w:fldChar w:fldCharType="begin"/>
      </w:r>
      <w:r>
        <w:instrText xml:space="preserve"> PAGEREF _Toc32577 \h </w:instrText>
      </w:r>
      <w:r>
        <w:fldChar w:fldCharType="separate"/>
      </w:r>
      <w:r>
        <w:t xml:space="preserve">4</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_Toc5100 </w:instrText>
      </w:r>
      <w:r>
        <w:rPr>
          <w:rFonts w:ascii="Arial" w:hAnsi="Arial" w:eastAsia="黑体" w:cs="Arial"/>
          <w:bCs/>
        </w:rPr>
        <w:fldChar w:fldCharType="separate"/>
      </w:r>
      <w:r>
        <w:rPr>
          <w:rFonts w:hint="eastAsia" w:ascii="宋体" w:hAnsi="宋体" w:cs="宋体"/>
          <w:bCs/>
          <w:szCs w:val="21"/>
        </w:rPr>
        <w:t xml:space="preserve">三、获取招标文件</w:t>
      </w:r>
      <w:r>
        <w:tab/>
      </w:r>
      <w:r>
        <w:fldChar w:fldCharType="begin"/>
      </w:r>
      <w:r>
        <w:instrText xml:space="preserve"> PAGEREF _Toc5100 \h </w:instrText>
      </w:r>
      <w:r>
        <w:fldChar w:fldCharType="separate"/>
      </w:r>
      <w:r>
        <w:t xml:space="preserve">5</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_Toc20070 </w:instrText>
      </w:r>
      <w:r>
        <w:rPr>
          <w:rFonts w:ascii="Arial" w:hAnsi="Arial" w:eastAsia="黑体"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_Toc20070 \h </w:instrText>
      </w:r>
      <w:r>
        <w:fldChar w:fldCharType="separate"/>
      </w:r>
      <w:r>
        <w:t xml:space="preserve">5</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_Toc24310 </w:instrText>
      </w:r>
      <w:r>
        <w:rPr>
          <w:rFonts w:ascii="Arial" w:hAnsi="Arial" w:eastAsia="黑体" w:cs="Arial"/>
          <w:bCs/>
        </w:rPr>
        <w:fldChar w:fldCharType="separate"/>
      </w:r>
      <w:r>
        <w:rPr>
          <w:rFonts w:hint="eastAsia" w:ascii="宋体" w:hAnsi="宋体" w:eastAsia="宋体" w:cs="宋体"/>
          <w:szCs w:val="21"/>
        </w:rPr>
        <w:t xml:space="preserve">五、公告期限</w:t>
      </w:r>
      <w:r>
        <w:tab/>
      </w:r>
      <w:r>
        <w:fldChar w:fldCharType="begin"/>
      </w:r>
      <w:r>
        <w:instrText xml:space="preserve"> PAGEREF _Toc24310 \h </w:instrText>
      </w:r>
      <w:r>
        <w:fldChar w:fldCharType="separate"/>
      </w:r>
      <w:r>
        <w:t xml:space="preserve">6</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_Toc12542 </w:instrText>
      </w:r>
      <w:r>
        <w:rPr>
          <w:rFonts w:ascii="Arial" w:hAnsi="Arial" w:eastAsia="黑体" w:cs="Arial"/>
          <w:bCs/>
        </w:rPr>
        <w:fldChar w:fldCharType="separate"/>
      </w:r>
      <w:r>
        <w:rPr>
          <w:rFonts w:hint="eastAsia" w:ascii="宋体" w:hAnsi="宋体" w:eastAsia="宋体" w:cs="宋体"/>
          <w:szCs w:val="21"/>
        </w:rPr>
        <w:t xml:space="preserve">六、其他补充事宜</w:t>
      </w:r>
      <w:r>
        <w:tab/>
      </w:r>
      <w:r>
        <w:fldChar w:fldCharType="begin"/>
      </w:r>
      <w:r>
        <w:instrText xml:space="preserve"> PAGEREF _Toc12542 \h </w:instrText>
      </w:r>
      <w:r>
        <w:fldChar w:fldCharType="separate"/>
      </w:r>
      <w:r>
        <w:t xml:space="preserve">6</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_Toc9389 </w:instrText>
      </w:r>
      <w:r>
        <w:rPr>
          <w:rFonts w:ascii="Arial" w:hAnsi="Arial" w:eastAsia="黑体" w:cs="Arial"/>
          <w:bCs/>
        </w:rPr>
        <w:fldChar w:fldCharType="separate"/>
      </w:r>
      <w:r>
        <w:rPr>
          <w:rFonts w:hint="eastAsia" w:ascii="宋体" w:hAnsi="宋体" w:eastAsia="宋体" w:cs="宋体"/>
          <w:szCs w:val="21"/>
        </w:rPr>
        <w:t xml:space="preserve">七、对本次招标提出询问，请按以下方式联系</w:t>
      </w:r>
      <w:r>
        <w:tab/>
      </w:r>
      <w:r>
        <w:fldChar w:fldCharType="begin"/>
      </w:r>
      <w:r>
        <w:instrText xml:space="preserve"> PAGEREF _Toc9389 \h </w:instrText>
      </w:r>
      <w:r>
        <w:fldChar w:fldCharType="separate"/>
      </w:r>
      <w:r>
        <w:t xml:space="preserve">6</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_Toc28028 </w:instrText>
      </w:r>
      <w:r>
        <w:rPr>
          <w:rFonts w:ascii="Arial" w:hAnsi="Arial" w:eastAsia="黑体" w:cs="Arial"/>
          <w:bCs/>
        </w:rPr>
        <w:fldChar w:fldCharType="separate"/>
      </w:r>
      <w:r>
        <w:rPr>
          <w:rFonts w:ascii="Arial" w:hAnsi="Arial" w:eastAsia="黑体" w:cs="Arial"/>
          <w:szCs w:val="28"/>
        </w:rPr>
        <w:t xml:space="preserve">第二章 投标人须知</w:t>
      </w:r>
      <w:r>
        <w:tab/>
      </w:r>
      <w:r>
        <w:fldChar w:fldCharType="begin"/>
      </w:r>
      <w:r>
        <w:instrText xml:space="preserve"> PAGEREF _Toc28028 \h </w:instrText>
      </w:r>
      <w:r>
        <w:fldChar w:fldCharType="separate"/>
      </w:r>
      <w:r>
        <w:t xml:space="preserve">8</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_Toc17386 </w:instrText>
      </w:r>
      <w:r>
        <w:rPr>
          <w:rFonts w:ascii="Arial" w:hAnsi="Arial" w:eastAsia="黑体" w:cs="Arial"/>
          <w:bCs/>
        </w:rPr>
        <w:fldChar w:fldCharType="separate"/>
      </w:r>
      <w:r>
        <w:rPr>
          <w:rFonts w:hint="eastAsia" w:ascii="宋体" w:cs="宋体"/>
          <w:bCs/>
        </w:rPr>
        <w:t xml:space="preserve">一、总 则</w:t>
      </w:r>
      <w:r>
        <w:tab/>
      </w:r>
      <w:r>
        <w:fldChar w:fldCharType="begin"/>
      </w:r>
      <w:r>
        <w:instrText xml:space="preserve"> PAGEREF _Toc17386 \h </w:instrText>
      </w:r>
      <w:r>
        <w:fldChar w:fldCharType="separate"/>
      </w:r>
      <w:r>
        <w:t xml:space="preserve">10</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_Toc6334 </w:instrText>
      </w:r>
      <w:r>
        <w:rPr>
          <w:rFonts w:ascii="Arial" w:hAnsi="Arial" w:eastAsia="黑体" w:cs="Arial"/>
          <w:bCs/>
        </w:rPr>
        <w:fldChar w:fldCharType="separate"/>
      </w:r>
      <w:r>
        <w:rPr>
          <w:rFonts w:hint="eastAsia" w:ascii="宋体" w:cs="宋体"/>
          <w:bCs/>
          <w:szCs w:val="21"/>
          <w:lang w:val="zh-CN"/>
        </w:rPr>
        <w:t xml:space="preserve">1.</w:t>
      </w:r>
      <w:r>
        <w:rPr>
          <w:rFonts w:hint="eastAsia" w:ascii="宋体" w:cs="宋体"/>
          <w:szCs w:val="21"/>
          <w:lang w:val="zh-CN"/>
        </w:rPr>
        <w:t xml:space="preserve">适用法律</w:t>
      </w:r>
      <w:r>
        <w:tab/>
      </w:r>
      <w:r>
        <w:fldChar w:fldCharType="begin"/>
      </w:r>
      <w:r>
        <w:instrText xml:space="preserve"> PAGEREF _Toc6334 \h </w:instrText>
      </w:r>
      <w:r>
        <w:fldChar w:fldCharType="separate"/>
      </w:r>
      <w:r>
        <w:t xml:space="preserve">10</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_Toc4566 </w:instrText>
      </w:r>
      <w:r>
        <w:rPr>
          <w:rFonts w:ascii="Arial" w:hAnsi="Arial" w:eastAsia="黑体" w:cs="Arial"/>
          <w:bCs/>
        </w:rPr>
        <w:fldChar w:fldCharType="separate"/>
      </w:r>
      <w:r>
        <w:rPr>
          <w:rFonts w:hint="eastAsia" w:ascii="宋体" w:cs="宋体"/>
          <w:bCs/>
          <w:szCs w:val="21"/>
          <w:lang w:val="zh-CN"/>
        </w:rPr>
        <w:t xml:space="preserve">2.</w:t>
      </w:r>
      <w:r>
        <w:rPr>
          <w:rFonts w:hint="eastAsia" w:ascii="宋体" w:cs="宋体"/>
          <w:szCs w:val="21"/>
          <w:lang w:val="zh-CN"/>
        </w:rPr>
        <w:t xml:space="preserve">定义</w:t>
      </w:r>
      <w:r>
        <w:tab/>
      </w:r>
      <w:r>
        <w:fldChar w:fldCharType="begin"/>
      </w:r>
      <w:r>
        <w:instrText xml:space="preserve"> PAGEREF _Toc4566 \h </w:instrText>
      </w:r>
      <w:r>
        <w:fldChar w:fldCharType="separate"/>
      </w:r>
      <w:r>
        <w:t xml:space="preserve">10</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_Toc6 </w:instrText>
      </w:r>
      <w:r>
        <w:rPr>
          <w:rFonts w:ascii="Arial" w:hAnsi="Arial" w:eastAsia="黑体" w:cs="Arial"/>
          <w:bCs/>
        </w:rPr>
        <w:fldChar w:fldCharType="separate"/>
      </w:r>
      <w:r>
        <w:rPr>
          <w:rFonts w:hint="eastAsia" w:ascii="宋体" w:cs="宋体"/>
          <w:bCs/>
          <w:szCs w:val="21"/>
          <w:lang w:val="zh-CN"/>
        </w:rPr>
        <w:t xml:space="preserve">3.</w:t>
      </w:r>
      <w:r>
        <w:rPr>
          <w:rFonts w:hint="eastAsia" w:ascii="宋体" w:cs="宋体"/>
          <w:szCs w:val="21"/>
          <w:lang w:val="zh-CN"/>
        </w:rPr>
        <w:t xml:space="preserve">政策功能</w:t>
      </w:r>
      <w:r>
        <w:tab/>
      </w:r>
      <w:r>
        <w:fldChar w:fldCharType="begin"/>
      </w:r>
      <w:r>
        <w:instrText xml:space="preserve"> PAGEREF _Toc6 \h </w:instrText>
      </w:r>
      <w:r>
        <w:fldChar w:fldCharType="separate"/>
      </w:r>
      <w:r>
        <w:t xml:space="preserve">11</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_Toc10363 </w:instrText>
      </w:r>
      <w:r>
        <w:rPr>
          <w:rFonts w:ascii="Arial" w:hAnsi="Arial" w:eastAsia="黑体" w:cs="Arial"/>
          <w:bCs/>
        </w:rPr>
        <w:fldChar w:fldCharType="separate"/>
      </w:r>
      <w:r>
        <w:rPr>
          <w:rFonts w:hint="eastAsia" w:ascii="宋体" w:cs="宋体"/>
          <w:bCs/>
          <w:szCs w:val="21"/>
          <w:lang w:val="zh-CN"/>
        </w:rPr>
        <w:t xml:space="preserve">4.</w:t>
      </w:r>
      <w:r>
        <w:rPr>
          <w:rFonts w:hint="eastAsia" w:ascii="宋体" w:cs="宋体"/>
          <w:szCs w:val="21"/>
          <w:lang w:val="zh-CN"/>
        </w:rPr>
        <w:t xml:space="preserve">投标费用</w:t>
      </w:r>
      <w:r>
        <w:tab/>
      </w:r>
      <w:r>
        <w:fldChar w:fldCharType="begin"/>
      </w:r>
      <w:r>
        <w:instrText xml:space="preserve"> PAGEREF _Toc10363 \h </w:instrText>
      </w:r>
      <w:r>
        <w:fldChar w:fldCharType="separate"/>
      </w:r>
      <w:r>
        <w:t xml:space="preserve">13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_Toc6077 </w:instrText>
      </w:r>
      <w:r>
        <w:rPr>
          <w:rFonts w:ascii="Arial" w:hAnsi="Arial" w:eastAsia="黑体" w:cs="Arial"/>
          <w:bCs/>
        </w:rPr>
        <w:fldChar w:fldCharType="separate"/>
      </w:r>
      <w:r>
        <w:rPr>
          <w:rFonts w:hint="eastAsia" w:ascii="宋体" w:cs="宋体"/>
          <w:bCs/>
          <w:szCs w:val="21"/>
          <w:lang w:val="zh-CN"/>
        </w:rPr>
        <w:t xml:space="preserve">5.</w:t>
      </w:r>
      <w:r>
        <w:rPr>
          <w:rFonts w:hint="eastAsia" w:ascii="宋体" w:cs="宋体"/>
          <w:szCs w:val="21"/>
          <w:lang w:val="zh-CN"/>
        </w:rPr>
        <w:t xml:space="preserve">招标文件的约束力</w:t>
      </w:r>
      <w:r>
        <w:tab/>
      </w:r>
      <w:r>
        <w:fldChar w:fldCharType="begin"/>
      </w:r>
      <w:r>
        <w:instrText xml:space="preserve"> PAGEREF _Toc6077 \h </w:instrText>
      </w:r>
      <w:r>
        <w:fldChar w:fldCharType="separate"/>
      </w:r>
      <w:r>
        <w:t xml:space="preserve">13</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_Toc2818 </w:instrText>
      </w:r>
      <w:r>
        <w:rPr>
          <w:rFonts w:ascii="Arial" w:hAnsi="Arial" w:eastAsia="黑体" w:cs="Arial"/>
          <w:bCs/>
        </w:rPr>
        <w:fldChar w:fldCharType="separate"/>
      </w:r>
      <w:r>
        <w:rPr>
          <w:rFonts w:hint="eastAsia" w:ascii="宋体" w:cs="宋体"/>
          <w:bCs/>
        </w:rPr>
        <w:t xml:space="preserve">二、招标文件</w:t>
      </w:r>
      <w:r>
        <w:tab/>
      </w:r>
      <w:r>
        <w:fldChar w:fldCharType="begin"/>
      </w:r>
      <w:r>
        <w:instrText xml:space="preserve"> PAGEREF _Toc2818 \h </w:instrText>
      </w:r>
      <w:r>
        <w:fldChar w:fldCharType="separate"/>
      </w:r>
      <w:r>
        <w:t xml:space="preserve">13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_Toc15685 </w:instrText>
      </w:r>
      <w:r>
        <w:rPr>
          <w:rFonts w:ascii="Arial" w:hAnsi="Arial" w:eastAsia="黑体" w:cs="Arial"/>
          <w:bCs/>
        </w:rPr>
        <w:fldChar w:fldCharType="separate"/>
      </w:r>
      <w:r>
        <w:rPr>
          <w:rFonts w:hint="eastAsia" w:ascii="宋体" w:cs="宋体"/>
          <w:bCs/>
          <w:szCs w:val="21"/>
          <w:lang w:val="zh-CN"/>
        </w:rPr>
        <w:t xml:space="preserve">6.</w:t>
      </w:r>
      <w:r>
        <w:rPr>
          <w:rFonts w:hint="eastAsia" w:ascii="宋体" w:cs="宋体"/>
          <w:szCs w:val="21"/>
          <w:lang w:val="zh-CN"/>
        </w:rPr>
        <w:t xml:space="preserve">招标文件构成</w:t>
      </w:r>
      <w:r>
        <w:tab/>
      </w:r>
      <w:r>
        <w:fldChar w:fldCharType="begin"/>
      </w:r>
      <w:r>
        <w:instrText xml:space="preserve"> PAGEREF _Toc15685 \h </w:instrText>
      </w:r>
      <w:r>
        <w:fldChar w:fldCharType="separate"/>
      </w:r>
      <w:r>
        <w:t xml:space="preserve">13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_Toc21685 </w:instrText>
      </w:r>
      <w:r>
        <w:rPr>
          <w:rFonts w:ascii="Arial" w:hAnsi="Arial" w:eastAsia="黑体" w:cs="Arial"/>
          <w:bCs/>
        </w:rPr>
        <w:fldChar w:fldCharType="separate"/>
      </w:r>
      <w:r>
        <w:rPr>
          <w:rFonts w:hint="eastAsia" w:ascii="宋体" w:eastAsia="宋体" w:cs="宋体"/>
          <w:bCs/>
          <w:szCs w:val="21"/>
        </w:rPr>
        <w:t xml:space="preserve">7.招标文件的澄清、补充或修改</w:t>
      </w:r>
      <w:r>
        <w:tab/>
      </w:r>
      <w:r>
        <w:fldChar w:fldCharType="begin"/>
      </w:r>
      <w:r>
        <w:instrText xml:space="preserve"> PAGEREF _Toc21685 \h </w:instrText>
      </w:r>
      <w:r>
        <w:fldChar w:fldCharType="separate"/>
      </w:r>
      <w:r>
        <w:t xml:space="preserve">13</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_Toc19559 </w:instrText>
      </w:r>
      <w:r>
        <w:rPr>
          <w:rFonts w:ascii="Arial" w:hAnsi="Arial" w:eastAsia="黑体" w:cs="Arial"/>
          <w:bCs/>
        </w:rPr>
        <w:fldChar w:fldCharType="separate"/>
      </w:r>
      <w:r>
        <w:rPr>
          <w:rFonts w:hint="eastAsia" w:ascii="宋体" w:cs="宋体"/>
          <w:bCs/>
        </w:rPr>
        <w:t xml:space="preserve">三、投标文件的编制</w:t>
      </w:r>
      <w:r>
        <w:tab/>
      </w:r>
      <w:r>
        <w:fldChar w:fldCharType="begin"/>
      </w:r>
      <w:r>
        <w:instrText xml:space="preserve"> PAGEREF _Toc19559 \h </w:instrText>
      </w:r>
      <w:r>
        <w:fldChar w:fldCharType="separate"/>
      </w:r>
      <w:r>
        <w:t xml:space="preserve">14</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_Toc4416 </w:instrText>
      </w:r>
      <w:r>
        <w:rPr>
          <w:rFonts w:ascii="Arial" w:hAnsi="Arial" w:eastAsia="黑体" w:cs="Arial"/>
          <w:bCs/>
        </w:rPr>
        <w:fldChar w:fldCharType="separate"/>
      </w:r>
      <w:r>
        <w:rPr>
          <w:rFonts w:hint="eastAsia" w:ascii="宋体" w:eastAsia="宋体" w:cs="宋体"/>
          <w:bCs/>
          <w:szCs w:val="21"/>
        </w:rPr>
        <w:t xml:space="preserve">8.投标文件的语言、计量单位、货币</w:t>
      </w:r>
      <w:r>
        <w:tab/>
      </w:r>
      <w:r>
        <w:fldChar w:fldCharType="begin"/>
      </w:r>
      <w:r>
        <w:instrText xml:space="preserve"> PAGEREF _Toc4416 \h </w:instrText>
      </w:r>
      <w:r>
        <w:fldChar w:fldCharType="separate"/>
      </w:r>
      <w:r>
        <w:t xml:space="preserve">14</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_Toc19740 </w:instrText>
      </w:r>
      <w:r>
        <w:rPr>
          <w:rFonts w:ascii="Arial" w:hAnsi="Arial" w:eastAsia="黑体" w:cs="Arial"/>
          <w:bCs/>
        </w:rPr>
        <w:fldChar w:fldCharType="separate"/>
      </w:r>
      <w:r>
        <w:rPr>
          <w:rFonts w:hint="eastAsia" w:ascii="宋体" w:cs="宋体"/>
          <w:bCs/>
          <w:szCs w:val="21"/>
        </w:rPr>
        <w:t xml:space="preserve">9.</w:t>
      </w:r>
      <w:r>
        <w:rPr>
          <w:rFonts w:hint="eastAsia" w:ascii="宋体" w:cs="宋体"/>
          <w:szCs w:val="21"/>
          <w:lang w:val="zh-CN"/>
        </w:rPr>
        <w:t xml:space="preserve">联合体（根据采购项目是否接受联合体投标而定）</w:t>
      </w:r>
      <w:r>
        <w:tab/>
      </w:r>
      <w:r>
        <w:fldChar w:fldCharType="begin"/>
      </w:r>
      <w:r>
        <w:instrText xml:space="preserve"> PAGEREF _Toc19740 \h </w:instrText>
      </w:r>
      <w:r>
        <w:fldChar w:fldCharType="separate"/>
      </w:r>
      <w:r>
        <w:t xml:space="preserve">14</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_Toc4036 </w:instrText>
      </w:r>
      <w:r>
        <w:rPr>
          <w:rFonts w:ascii="Arial" w:hAnsi="Arial" w:eastAsia="黑体" w:cs="Arial"/>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_Toc4036 \h </w:instrText>
      </w:r>
      <w:r>
        <w:fldChar w:fldCharType="separate"/>
      </w:r>
      <w:r>
        <w:t xml:space="preserve">15</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_Toc25800 </w:instrText>
      </w:r>
      <w:r>
        <w:rPr>
          <w:rFonts w:ascii="Arial" w:hAnsi="Arial" w:eastAsia="黑体" w:cs="Arial"/>
          <w:bCs/>
        </w:rPr>
        <w:fldChar w:fldCharType="separate"/>
      </w:r>
      <w:r>
        <w:rPr>
          <w:rFonts w:hint="eastAsia" w:ascii="宋体" w:eastAsia="宋体" w:cs="宋体"/>
          <w:bCs/>
          <w:szCs w:val="21"/>
        </w:rPr>
        <w:t xml:space="preserve">11.投标保证金（本项目不适用）</w:t>
      </w:r>
      <w:r>
        <w:tab/>
      </w:r>
      <w:r>
        <w:fldChar w:fldCharType="begin"/>
      </w:r>
      <w:r>
        <w:instrText xml:space="preserve"> PAGEREF _Toc25800 \h </w:instrText>
      </w:r>
      <w:r>
        <w:fldChar w:fldCharType="separate"/>
      </w:r>
      <w:r>
        <w:t xml:space="preserve">16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_Toc20408 </w:instrText>
      </w:r>
      <w:r>
        <w:rPr>
          <w:rFonts w:ascii="Arial" w:hAnsi="Arial" w:eastAsia="黑体" w:cs="Arial"/>
          <w:bCs/>
        </w:rPr>
        <w:fldChar w:fldCharType="separate"/>
      </w:r>
      <w:r>
        <w:rPr>
          <w:rFonts w:hint="eastAsia" w:ascii="宋体" w:eastAsia="宋体" w:cs="宋体"/>
          <w:bCs/>
          <w:szCs w:val="21"/>
        </w:rPr>
        <w:t xml:space="preserve">12.投标文件的有效期</w:t>
      </w:r>
      <w:r>
        <w:tab/>
      </w:r>
      <w:r>
        <w:fldChar w:fldCharType="begin"/>
      </w:r>
      <w:r>
        <w:instrText xml:space="preserve"> PAGEREF _Toc20408 \h </w:instrText>
      </w:r>
      <w:r>
        <w:fldChar w:fldCharType="separate"/>
      </w:r>
      <w:r>
        <w:t xml:space="preserve">16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_Toc19999 </w:instrText>
      </w:r>
      <w:r>
        <w:rPr>
          <w:rFonts w:ascii="Arial" w:hAnsi="Arial" w:eastAsia="黑体" w:cs="Arial"/>
          <w:bCs/>
        </w:rPr>
        <w:fldChar w:fldCharType="separate"/>
      </w:r>
      <w:r>
        <w:rPr>
          <w:rFonts w:hint="eastAsia" w:ascii="宋体" w:eastAsia="宋体" w:cs="宋体"/>
          <w:bCs/>
          <w:szCs w:val="21"/>
        </w:rPr>
        <w:t xml:space="preserve">13.投标文件的签署及其形式</w:t>
      </w:r>
      <w:r>
        <w:tab/>
      </w:r>
      <w:r>
        <w:fldChar w:fldCharType="begin"/>
      </w:r>
      <w:r>
        <w:instrText xml:space="preserve"> PAGEREF _Toc19999 \h </w:instrText>
      </w:r>
      <w:r>
        <w:fldChar w:fldCharType="separate"/>
      </w:r>
      <w:r>
        <w:t xml:space="preserve">17</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_Toc23989 </w:instrText>
      </w:r>
      <w:r>
        <w:rPr>
          <w:rFonts w:ascii="Arial" w:hAnsi="Arial" w:eastAsia="黑体" w:cs="Arial"/>
          <w:bCs/>
        </w:rPr>
        <w:fldChar w:fldCharType="separate"/>
      </w:r>
      <w:r>
        <w:rPr>
          <w:rFonts w:hint="eastAsia" w:ascii="宋体" w:cs="宋体"/>
          <w:bCs/>
        </w:rPr>
        <w:t xml:space="preserve">四、投标文件的递交</w:t>
      </w:r>
      <w:r>
        <w:tab/>
      </w:r>
      <w:r>
        <w:fldChar w:fldCharType="begin"/>
      </w:r>
      <w:r>
        <w:instrText xml:space="preserve"> PAGEREF _Toc23989 \h </w:instrText>
      </w:r>
      <w:r>
        <w:fldChar w:fldCharType="separate"/>
      </w:r>
      <w:r>
        <w:t xml:space="preserve">17</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_Toc30020 </w:instrText>
      </w:r>
      <w:r>
        <w:rPr>
          <w:rFonts w:ascii="Arial" w:hAnsi="Arial" w:eastAsia="黑体" w:cs="Arial"/>
          <w:bCs/>
        </w:rPr>
        <w:fldChar w:fldCharType="separate"/>
      </w:r>
      <w:r>
        <w:rPr>
          <w:rFonts w:hint="eastAsia" w:ascii="宋体" w:hAnsi="宋体" w:eastAsia="宋体" w:cs="宋体"/>
          <w:bCs/>
          <w:szCs w:val="21"/>
        </w:rPr>
        <w:t xml:space="preserve">14.投</w:t>
      </w:r>
      <w:r>
        <w:rPr>
          <w:rFonts w:ascii="Times New Roman" w:hAnsi="Times New Roman" w:eastAsia="宋体"/>
          <w:bCs/>
          <w:szCs w:val="21"/>
        </w:rPr>
        <w:t xml:space="preserve">标文件的密封及标记</w:t>
      </w:r>
      <w:r>
        <w:tab/>
      </w:r>
      <w:r>
        <w:fldChar w:fldCharType="begin"/>
      </w:r>
      <w:r>
        <w:instrText xml:space="preserve"> PAGEREF _Toc30020 \h </w:instrText>
      </w:r>
      <w:r>
        <w:fldChar w:fldCharType="separate"/>
      </w:r>
      <w:r>
        <w:t xml:space="preserve">17</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_Toc26514 </w:instrText>
      </w:r>
      <w:r>
        <w:rPr>
          <w:rFonts w:ascii="Arial" w:hAnsi="Arial" w:eastAsia="黑体" w:cs="Arial"/>
          <w:bCs/>
        </w:rPr>
        <w:fldChar w:fldCharType="separate"/>
      </w:r>
      <w:r>
        <w:rPr>
          <w:rFonts w:hint="eastAsia" w:ascii="宋体" w:eastAsia="宋体" w:cs="宋体"/>
          <w:bCs/>
          <w:szCs w:val="21"/>
        </w:rPr>
        <w:t xml:space="preserve">15.投标的截止日期</w:t>
      </w:r>
      <w:r>
        <w:tab/>
      </w:r>
      <w:r>
        <w:fldChar w:fldCharType="begin"/>
      </w:r>
      <w:r>
        <w:instrText xml:space="preserve"> PAGEREF _Toc26514 \h </w:instrText>
      </w:r>
      <w:r>
        <w:fldChar w:fldCharType="separate"/>
      </w:r>
      <w:r>
        <w:t xml:space="preserve">17</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_Toc492 </w:instrText>
      </w:r>
      <w:r>
        <w:rPr>
          <w:rFonts w:ascii="Arial" w:hAnsi="Arial" w:eastAsia="黑体" w:cs="Arial"/>
          <w:bCs/>
        </w:rPr>
        <w:fldChar w:fldCharType="separate"/>
      </w:r>
      <w:r>
        <w:rPr>
          <w:rFonts w:hint="eastAsia" w:ascii="宋体" w:eastAsia="宋体" w:cs="宋体"/>
          <w:bCs/>
          <w:szCs w:val="21"/>
        </w:rPr>
        <w:t xml:space="preserve">16.迟交的投标文件</w:t>
      </w:r>
      <w:r>
        <w:tab/>
      </w:r>
      <w:r>
        <w:fldChar w:fldCharType="begin"/>
      </w:r>
      <w:r>
        <w:instrText xml:space="preserve"> PAGEREF _Toc492 \h </w:instrText>
      </w:r>
      <w:r>
        <w:fldChar w:fldCharType="separate"/>
      </w:r>
      <w:r>
        <w:t xml:space="preserve">18</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_Toc19073 </w:instrText>
      </w:r>
      <w:r>
        <w:rPr>
          <w:rFonts w:ascii="Arial" w:hAnsi="Arial" w:eastAsia="黑体" w:cs="Arial"/>
          <w:bCs/>
        </w:rPr>
        <w:fldChar w:fldCharType="separate"/>
      </w:r>
      <w:r>
        <w:rPr>
          <w:rFonts w:hint="eastAsia" w:ascii="宋体" w:hAnsi="宋体" w:eastAsia="宋体" w:cs="宋体"/>
          <w:bCs/>
          <w:szCs w:val="21"/>
        </w:rPr>
        <w:t xml:space="preserve">17.投标文件的修改或撤回</w:t>
      </w:r>
      <w:r>
        <w:tab/>
      </w:r>
      <w:r>
        <w:fldChar w:fldCharType="begin"/>
      </w:r>
      <w:r>
        <w:instrText xml:space="preserve"> PAGEREF _Toc19073 \h </w:instrText>
      </w:r>
      <w:r>
        <w:fldChar w:fldCharType="separate"/>
      </w:r>
      <w:r>
        <w:t xml:space="preserve">18</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_Toc10120 </w:instrText>
      </w:r>
      <w:r>
        <w:rPr>
          <w:rFonts w:ascii="Arial" w:hAnsi="Arial" w:eastAsia="黑体" w:cs="Arial"/>
          <w:bCs/>
        </w:rPr>
        <w:fldChar w:fldCharType="separate"/>
      </w:r>
      <w:r>
        <w:rPr>
          <w:rFonts w:hint="eastAsia" w:ascii="宋体" w:cs="宋体"/>
          <w:bCs/>
        </w:rPr>
        <w:t xml:space="preserve">五、开标与评标</w:t>
      </w:r>
      <w:r>
        <w:tab/>
      </w:r>
      <w:r>
        <w:fldChar w:fldCharType="begin"/>
      </w:r>
      <w:r>
        <w:instrText xml:space="preserve"> PAGEREF _Toc10120 \h </w:instrText>
      </w:r>
      <w:r>
        <w:fldChar w:fldCharType="separate"/>
      </w:r>
      <w:r>
        <w:t xml:space="preserve">18</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_Toc13075 </w:instrText>
      </w:r>
      <w:r>
        <w:rPr>
          <w:rFonts w:ascii="Arial" w:hAnsi="Arial" w:eastAsia="黑体" w:cs="Arial"/>
          <w:bCs/>
        </w:rPr>
        <w:fldChar w:fldCharType="separate"/>
      </w:r>
      <w:r>
        <w:rPr>
          <w:rFonts w:hint="eastAsia" w:ascii="宋体" w:eastAsia="宋体" w:cs="宋体"/>
          <w:bCs/>
          <w:szCs w:val="21"/>
        </w:rPr>
        <w:t xml:space="preserve">18.开标</w:t>
      </w:r>
      <w:r>
        <w:tab/>
      </w:r>
      <w:r>
        <w:fldChar w:fldCharType="begin"/>
      </w:r>
      <w:r>
        <w:instrText xml:space="preserve"> PAGEREF _Toc13075 \h </w:instrText>
      </w:r>
      <w:r>
        <w:fldChar w:fldCharType="separate"/>
      </w:r>
      <w:r>
        <w:t xml:space="preserve">18</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_Toc5054 </w:instrText>
      </w:r>
      <w:r>
        <w:rPr>
          <w:rFonts w:ascii="Arial" w:hAnsi="Arial" w:eastAsia="黑体" w:cs="Arial"/>
          <w:bCs/>
        </w:rPr>
        <w:fldChar w:fldCharType="separate"/>
      </w:r>
      <w:r>
        <w:rPr>
          <w:rFonts w:hint="eastAsia" w:ascii="宋体" w:eastAsia="宋体" w:cs="宋体"/>
          <w:bCs/>
          <w:szCs w:val="21"/>
        </w:rPr>
        <w:t xml:space="preserve">19.评标组织</w:t>
      </w:r>
      <w:r>
        <w:tab/>
      </w:r>
      <w:r>
        <w:fldChar w:fldCharType="begin"/>
      </w:r>
      <w:r>
        <w:instrText xml:space="preserve"> PAGEREF _Toc5054 \h </w:instrText>
      </w:r>
      <w:r>
        <w:fldChar w:fldCharType="separate"/>
      </w:r>
      <w:r>
        <w:t xml:space="preserve">18</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_Toc26183 </w:instrText>
      </w:r>
      <w:r>
        <w:rPr>
          <w:rFonts w:ascii="Arial" w:hAnsi="Arial" w:eastAsia="黑体" w:cs="Arial"/>
          <w:bCs/>
        </w:rPr>
        <w:fldChar w:fldCharType="separate"/>
      </w:r>
      <w:r>
        <w:rPr>
          <w:rFonts w:hint="eastAsia" w:ascii="宋体" w:eastAsia="宋体" w:cs="宋体"/>
          <w:bCs/>
          <w:szCs w:val="21"/>
        </w:rPr>
        <w:t xml:space="preserve">20.对投标文件的资格性审查和符合性审查</w:t>
      </w:r>
      <w:r>
        <w:tab/>
      </w:r>
      <w:r>
        <w:fldChar w:fldCharType="begin"/>
      </w:r>
      <w:r>
        <w:instrText xml:space="preserve"> PAGEREF _Toc26183 \h </w:instrText>
      </w:r>
      <w:r>
        <w:fldChar w:fldCharType="separate"/>
      </w:r>
      <w:r>
        <w:t xml:space="preserve">19</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_Toc21952 </w:instrText>
      </w:r>
      <w:r>
        <w:rPr>
          <w:rFonts w:ascii="Arial" w:hAnsi="Arial" w:eastAsia="黑体" w:cs="Arial"/>
          <w:bCs/>
        </w:rPr>
        <w:fldChar w:fldCharType="separate"/>
      </w:r>
      <w:r>
        <w:rPr>
          <w:rFonts w:hint="eastAsia" w:ascii="宋体" w:eastAsia="宋体" w:cs="宋体"/>
          <w:bCs/>
          <w:szCs w:val="21"/>
        </w:rPr>
        <w:t xml:space="preserve">21.投标文件的澄清</w:t>
      </w:r>
      <w:r>
        <w:tab/>
      </w:r>
      <w:r>
        <w:fldChar w:fldCharType="begin"/>
      </w:r>
      <w:r>
        <w:instrText xml:space="preserve"> PAGEREF _Toc21952 \h </w:instrText>
      </w:r>
      <w:r>
        <w:fldChar w:fldCharType="separate"/>
      </w:r>
      <w:r>
        <w:t xml:space="preserve">21</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_Toc17417 </w:instrText>
      </w:r>
      <w:r>
        <w:rPr>
          <w:rFonts w:ascii="Arial" w:hAnsi="Arial" w:eastAsia="黑体" w:cs="Arial"/>
          <w:bCs/>
        </w:rPr>
        <w:fldChar w:fldCharType="separate"/>
      </w:r>
      <w:r>
        <w:rPr>
          <w:rFonts w:hint="eastAsia" w:ascii="宋体" w:eastAsia="宋体" w:cs="宋体"/>
          <w:bCs/>
          <w:szCs w:val="21"/>
        </w:rPr>
        <w:t xml:space="preserve">22.对投标文件的详细评审</w:t>
      </w:r>
      <w:r>
        <w:tab/>
      </w:r>
      <w:r>
        <w:fldChar w:fldCharType="begin"/>
      </w:r>
      <w:r>
        <w:instrText xml:space="preserve"> PAGEREF _Toc17417 \h </w:instrText>
      </w:r>
      <w:r>
        <w:fldChar w:fldCharType="separate"/>
      </w:r>
      <w:r>
        <w:t xml:space="preserve">21</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_Toc11583 </w:instrText>
      </w:r>
      <w:r>
        <w:rPr>
          <w:rFonts w:ascii="Arial" w:hAnsi="Arial" w:eastAsia="黑体" w:cs="Arial"/>
          <w:bCs/>
        </w:rPr>
        <w:fldChar w:fldCharType="separate"/>
      </w:r>
      <w:r>
        <w:rPr>
          <w:rFonts w:hint="eastAsia" w:ascii="宋体" w:eastAsia="宋体" w:cs="宋体"/>
          <w:bCs/>
          <w:szCs w:val="21"/>
        </w:rPr>
        <w:t xml:space="preserve">23.评标过程的保密与公正</w:t>
      </w:r>
      <w:r>
        <w:tab/>
      </w:r>
      <w:r>
        <w:fldChar w:fldCharType="begin"/>
      </w:r>
      <w:r>
        <w:instrText xml:space="preserve"> PAGEREF _Toc11583 \h </w:instrText>
      </w:r>
      <w:r>
        <w:fldChar w:fldCharType="separate"/>
      </w:r>
      <w:r>
        <w:t xml:space="preserve">22</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_Toc22233 </w:instrText>
      </w:r>
      <w:r>
        <w:rPr>
          <w:rFonts w:ascii="Arial" w:hAnsi="Arial" w:eastAsia="黑体" w:cs="Arial"/>
          <w:bCs/>
        </w:rPr>
        <w:fldChar w:fldCharType="separate"/>
      </w:r>
      <w:r>
        <w:rPr>
          <w:rFonts w:hint="eastAsia" w:ascii="宋体" w:eastAsia="宋体" w:cs="宋体"/>
          <w:bCs/>
          <w:szCs w:val="21"/>
        </w:rPr>
        <w:t xml:space="preserve">24.无效投标条款和废标条款</w:t>
      </w:r>
      <w:r>
        <w:tab/>
      </w:r>
      <w:r>
        <w:fldChar w:fldCharType="begin"/>
      </w:r>
      <w:r>
        <w:instrText xml:space="preserve"> PAGEREF _Toc22233 \h </w:instrText>
      </w:r>
      <w:r>
        <w:fldChar w:fldCharType="separate"/>
      </w:r>
      <w:r>
        <w:t xml:space="preserve">22</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_Toc26122 </w:instrText>
      </w:r>
      <w:r>
        <w:rPr>
          <w:rFonts w:ascii="Arial" w:hAnsi="Arial" w:eastAsia="黑体" w:cs="Arial"/>
          <w:bCs/>
        </w:rPr>
        <w:fldChar w:fldCharType="separate"/>
      </w:r>
      <w:r>
        <w:rPr>
          <w:rFonts w:hint="eastAsia" w:ascii="宋体" w:eastAsia="宋体" w:cs="宋体"/>
          <w:bCs/>
          <w:szCs w:val="21"/>
        </w:rPr>
        <w:t xml:space="preserve">25.投标截止时间结束参加投标的供应商不足三家的处理</w:t>
      </w:r>
      <w:r>
        <w:tab/>
      </w:r>
      <w:r>
        <w:fldChar w:fldCharType="begin"/>
      </w:r>
      <w:r>
        <w:instrText xml:space="preserve"> PAGEREF _Toc26122 \h </w:instrText>
      </w:r>
      <w:r>
        <w:fldChar w:fldCharType="separate"/>
      </w:r>
      <w:r>
        <w:t xml:space="preserve">22</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_Toc8554 </w:instrText>
      </w:r>
      <w:r>
        <w:rPr>
          <w:rFonts w:ascii="Arial" w:hAnsi="Arial" w:eastAsia="黑体" w:cs="Arial"/>
          <w:bCs/>
        </w:rPr>
        <w:fldChar w:fldCharType="separate"/>
      </w:r>
      <w:r>
        <w:rPr>
          <w:rFonts w:hint="eastAsia" w:ascii="宋体" w:cs="宋体"/>
          <w:bCs/>
        </w:rPr>
        <w:t xml:space="preserve">六、授标</w:t>
      </w:r>
      <w:r>
        <w:tab/>
      </w:r>
      <w:r>
        <w:fldChar w:fldCharType="begin"/>
      </w:r>
      <w:r>
        <w:instrText xml:space="preserve"> PAGEREF _Toc8554 \h </w:instrText>
      </w:r>
      <w:r>
        <w:fldChar w:fldCharType="separate"/>
      </w:r>
      <w:r>
        <w:t xml:space="preserve">23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_Toc19870 </w:instrText>
      </w:r>
      <w:r>
        <w:rPr>
          <w:rFonts w:ascii="Arial" w:hAnsi="Arial" w:eastAsia="黑体" w:cs="Arial"/>
          <w:bCs/>
        </w:rPr>
        <w:fldChar w:fldCharType="separate"/>
      </w:r>
      <w:r>
        <w:rPr>
          <w:rFonts w:hint="eastAsia" w:ascii="宋体" w:eastAsia="宋体" w:cs="宋体"/>
          <w:bCs/>
          <w:szCs w:val="21"/>
        </w:rPr>
        <w:t xml:space="preserve">26.确定中标供应商</w:t>
      </w:r>
      <w:r>
        <w:tab/>
      </w:r>
      <w:r>
        <w:fldChar w:fldCharType="begin"/>
      </w:r>
      <w:r>
        <w:instrText xml:space="preserve"> PAGEREF _Toc19870 \h </w:instrText>
      </w:r>
      <w:r>
        <w:fldChar w:fldCharType="separate"/>
      </w:r>
      <w:r>
        <w:t xml:space="preserve">23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_Toc8826 </w:instrText>
      </w:r>
      <w:r>
        <w:rPr>
          <w:rFonts w:ascii="Arial" w:hAnsi="Arial" w:eastAsia="黑体" w:cs="Arial"/>
          <w:bCs/>
        </w:rPr>
        <w:fldChar w:fldCharType="separate"/>
      </w:r>
      <w:r>
        <w:rPr>
          <w:rFonts w:hint="eastAsia" w:ascii="宋体" w:eastAsia="宋体" w:cs="宋体"/>
          <w:bCs/>
          <w:szCs w:val="21"/>
        </w:rPr>
        <w:t xml:space="preserve">27.中标的通知</w:t>
      </w:r>
      <w:r>
        <w:tab/>
      </w:r>
      <w:r>
        <w:fldChar w:fldCharType="begin"/>
      </w:r>
      <w:r>
        <w:instrText xml:space="preserve"> PAGEREF _Toc8826 \h </w:instrText>
      </w:r>
      <w:r>
        <w:fldChar w:fldCharType="separate"/>
      </w:r>
      <w:r>
        <w:t xml:space="preserve">23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_Toc31275 </w:instrText>
      </w:r>
      <w:r>
        <w:rPr>
          <w:rFonts w:ascii="Arial" w:hAnsi="Arial" w:eastAsia="黑体" w:cs="Arial"/>
          <w:bCs/>
        </w:rPr>
        <w:fldChar w:fldCharType="separate"/>
      </w:r>
      <w:r>
        <w:rPr>
          <w:rFonts w:hint="eastAsia" w:ascii="宋体" w:eastAsia="宋体" w:cs="宋体"/>
          <w:bCs/>
          <w:szCs w:val="21"/>
        </w:rPr>
        <w:t xml:space="preserve">28.签订合同</w:t>
      </w:r>
      <w:r>
        <w:tab/>
      </w:r>
      <w:r>
        <w:fldChar w:fldCharType="begin"/>
      </w:r>
      <w:r>
        <w:instrText xml:space="preserve"> PAGEREF _Toc31275 \h </w:instrText>
      </w:r>
      <w:r>
        <w:fldChar w:fldCharType="separate"/>
      </w:r>
      <w:r>
        <w:t xml:space="preserve">23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_Toc2104 </w:instrText>
      </w:r>
      <w:r>
        <w:rPr>
          <w:rFonts w:ascii="Arial" w:hAnsi="Arial" w:eastAsia="黑体" w:cs="Arial"/>
          <w:bCs/>
        </w:rPr>
        <w:fldChar w:fldCharType="separate"/>
      </w:r>
      <w:r>
        <w:rPr>
          <w:rFonts w:hint="eastAsia" w:ascii="宋体" w:eastAsia="宋体" w:cs="宋体"/>
          <w:bCs/>
          <w:szCs w:val="21"/>
        </w:rPr>
        <w:t xml:space="preserve">29. </w:t>
      </w:r>
      <w:r>
        <w:rPr>
          <w:rFonts w:hint="eastAsia" w:ascii="宋体" w:eastAsia="宋体" w:cs="宋体"/>
          <w:bCs/>
          <w:szCs w:val="21"/>
        </w:rPr>
        <w:t xml:space="preserve">招标代理服务费</w:t>
      </w:r>
      <w:r>
        <w:tab/>
      </w:r>
      <w:r>
        <w:fldChar w:fldCharType="begin"/>
      </w:r>
      <w:r>
        <w:instrText xml:space="preserve"> PAGEREF _Toc2104 \h </w:instrText>
      </w:r>
      <w:r>
        <w:fldChar w:fldCharType="separate"/>
      </w:r>
      <w:r>
        <w:t xml:space="preserve">24</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_Toc5858 </w:instrText>
      </w:r>
      <w:r>
        <w:rPr>
          <w:rFonts w:ascii="Arial" w:hAnsi="Arial" w:eastAsia="黑体" w:cs="Arial"/>
          <w:bCs/>
        </w:rPr>
        <w:fldChar w:fldCharType="separate"/>
      </w:r>
      <w:r>
        <w:rPr>
          <w:rFonts w:hint="eastAsia" w:ascii="宋体" w:cs="宋体"/>
          <w:bCs/>
        </w:rPr>
        <w:t xml:space="preserve">七、质疑</w:t>
      </w:r>
      <w:r>
        <w:tab/>
      </w:r>
      <w:r>
        <w:fldChar w:fldCharType="begin"/>
      </w:r>
      <w:r>
        <w:instrText xml:space="preserve"> PAGEREF _Toc5858 \h </w:instrText>
      </w:r>
      <w:r>
        <w:fldChar w:fldCharType="separate"/>
      </w:r>
      <w:r>
        <w:t xml:space="preserve">24</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_Toc6118 </w:instrText>
      </w:r>
      <w:r>
        <w:rPr>
          <w:rFonts w:ascii="Arial" w:hAnsi="Arial" w:eastAsia="黑体" w:cs="Arial"/>
          <w:bCs/>
        </w:rPr>
        <w:fldChar w:fldCharType="separate"/>
      </w:r>
      <w:r>
        <w:rPr>
          <w:rFonts w:hint="eastAsia" w:ascii="宋体" w:eastAsia="宋体" w:cs="宋体"/>
          <w:bCs/>
          <w:szCs w:val="21"/>
        </w:rPr>
        <w:t xml:space="preserve">30.质疑</w:t>
      </w:r>
      <w:r>
        <w:tab/>
      </w:r>
      <w:r>
        <w:fldChar w:fldCharType="begin"/>
      </w:r>
      <w:r>
        <w:instrText xml:space="preserve"> PAGEREF _Toc6118 \h </w:instrText>
      </w:r>
      <w:r>
        <w:fldChar w:fldCharType="separate"/>
      </w:r>
      <w:r>
        <w:t xml:space="preserve">24</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_Toc18306 </w:instrText>
      </w:r>
      <w:r>
        <w:rPr>
          <w:rFonts w:ascii="Arial" w:hAnsi="Arial" w:eastAsia="黑体" w:cs="Arial"/>
          <w:bCs/>
        </w:rPr>
        <w:fldChar w:fldCharType="separate"/>
      </w:r>
      <w:r>
        <w:rPr>
          <w:rFonts w:ascii="Arial" w:hAnsi="Arial" w:eastAsia="黑体" w:cs="Arial"/>
          <w:szCs w:val="28"/>
        </w:rPr>
        <w:t xml:space="preserve">第三章 评标标准</w:t>
      </w:r>
      <w:r>
        <w:tab/>
      </w:r>
      <w:r>
        <w:fldChar w:fldCharType="begin"/>
      </w:r>
      <w:r>
        <w:instrText xml:space="preserve"> PAGEREF _Toc18306 \h </w:instrText>
      </w:r>
      <w:r>
        <w:fldChar w:fldCharType="separate"/>
      </w:r>
      <w:r>
        <w:t xml:space="preserve">26</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_Toc13223 </w:instrText>
      </w:r>
      <w:r>
        <w:rPr>
          <w:rFonts w:ascii="Arial" w:hAnsi="Arial" w:eastAsia="黑体" w:cs="Arial"/>
          <w:bCs/>
        </w:rPr>
        <w:fldChar w:fldCharType="separate"/>
      </w:r>
      <w:r>
        <w:rPr>
          <w:rFonts w:ascii="Arial" w:hAnsi="Arial" w:eastAsia="黑体" w:cs="Arial"/>
          <w:szCs w:val="28"/>
        </w:rPr>
        <w:t xml:space="preserve">第四章 </w:t>
      </w:r>
      <w:r>
        <w:rPr>
          <w:rFonts w:hint="eastAsia" w:ascii="Arial" w:hAnsi="Arial" w:eastAsia="黑体" w:cs="Arial"/>
          <w:szCs w:val="28"/>
        </w:rPr>
        <w:t xml:space="preserve">招标技术规格及要求</w:t>
      </w:r>
      <w:r>
        <w:tab/>
      </w:r>
      <w:r>
        <w:fldChar w:fldCharType="begin"/>
      </w:r>
      <w:r>
        <w:instrText xml:space="preserve"> PAGEREF _Toc13223 \h </w:instrText>
      </w:r>
      <w:r>
        <w:fldChar w:fldCharType="separate"/>
      </w:r>
      <w:r>
        <w:t xml:space="preserve">30</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_Toc1406 </w:instrText>
      </w:r>
      <w:r>
        <w:rPr>
          <w:rFonts w:ascii="Arial" w:hAnsi="Arial" w:eastAsia="黑体" w:cs="Arial"/>
          <w:bCs/>
        </w:rPr>
        <w:fldChar w:fldCharType="separate"/>
      </w:r>
      <w:r>
        <w:rPr>
          <w:rFonts w:hint="eastAsia" w:ascii="宋体" w:hAnsi="宋体" w:eastAsia="宋体" w:cs="宋体"/>
          <w:bCs w:val="0"/>
          <w:szCs w:val="21"/>
        </w:rPr>
        <w:t xml:space="preserve">一、项目基本情况</w:t>
      </w:r>
      <w:r>
        <w:tab/>
      </w:r>
      <w:r>
        <w:fldChar w:fldCharType="begin"/>
      </w:r>
      <w:r>
        <w:instrText xml:space="preserve"> PAGEREF _Toc1406 \h </w:instrText>
      </w:r>
      <w:r>
        <w:fldChar w:fldCharType="separate"/>
      </w:r>
      <w:r>
        <w:t xml:space="preserve">30</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_Toc30611 </w:instrText>
      </w:r>
      <w:r>
        <w:rPr>
          <w:rFonts w:ascii="Arial" w:hAnsi="Arial" w:eastAsia="黑体" w:cs="Arial"/>
          <w:bCs/>
        </w:rPr>
        <w:fldChar w:fldCharType="separate"/>
      </w:r>
      <w:r>
        <w:rPr>
          <w:rFonts w:hint="eastAsia"/>
          <w:lang w:val="de-DE"/>
        </w:rPr>
        <w:t xml:space="preserve">二、</w:t>
      </w:r>
      <w:r>
        <w:rPr>
          <w:rFonts w:hint="eastAsia" w:ascii="宋体" w:hAnsi="宋体" w:cs="宋体"/>
          <w:bCs/>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bCs/>
          <w:szCs w:val="21"/>
          <w:lang w:eastAsia="zh-CN"/>
        </w:rPr>
        <w:t xml:space="preserve">（技术及商务响应评分项）</w:t>
      </w:r>
      <w:r>
        <w:tab/>
      </w:r>
      <w:r>
        <w:fldChar w:fldCharType="begin"/>
      </w:r>
      <w:r>
        <w:instrText xml:space="preserve"> PAGEREF _Toc30611 \h </w:instrText>
      </w:r>
      <w:r>
        <w:fldChar w:fldCharType="separate"/>
      </w:r>
      <w:r>
        <w:t xml:space="preserve">30</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_Toc11066 </w:instrText>
      </w:r>
      <w:r>
        <w:rPr>
          <w:rFonts w:ascii="Arial" w:hAnsi="Arial" w:eastAsia="黑体" w:cs="Arial"/>
          <w:bCs/>
        </w:rPr>
        <w:fldChar w:fldCharType="separate"/>
      </w:r>
      <w:r>
        <w:rPr>
          <w:rFonts w:hint="eastAsia" w:ascii="宋体" w:hAnsi="宋体" w:cs="宋体"/>
          <w:szCs w:val="21"/>
        </w:rPr>
        <w:t xml:space="preserve">品目1 高频微波场强标准装置</w:t>
      </w:r>
      <w:r>
        <w:tab/>
      </w:r>
      <w:r>
        <w:fldChar w:fldCharType="begin"/>
      </w:r>
      <w:r>
        <w:instrText xml:space="preserve"> PAGEREF _Toc11066 \h </w:instrText>
      </w:r>
      <w:r>
        <w:fldChar w:fldCharType="separate"/>
      </w:r>
      <w:r>
        <w:t xml:space="preserve">30</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_Toc28802 </w:instrText>
      </w:r>
      <w:r>
        <w:rPr>
          <w:rFonts w:ascii="Arial" w:hAnsi="Arial" w:eastAsia="黑体" w:cs="Arial"/>
          <w:bCs/>
        </w:rPr>
        <w:fldChar w:fldCharType="separate"/>
      </w:r>
      <w:r>
        <w:rPr>
          <w:rFonts w:hint="eastAsia" w:ascii="宋体" w:hAnsi="宋体" w:cs="宋体"/>
          <w:szCs w:val="21"/>
        </w:rPr>
        <w:t xml:space="preserve">品目</w:t>
      </w:r>
      <w:r>
        <w:rPr>
          <w:rFonts w:ascii="宋体" w:hAnsi="宋体" w:cs="宋体"/>
          <w:szCs w:val="21"/>
        </w:rPr>
        <w:t xml:space="preserve">2 </w:t>
      </w:r>
      <w:r>
        <w:rPr>
          <w:rFonts w:hint="eastAsia" w:ascii="宋体" w:hAnsi="宋体" w:cs="宋体"/>
          <w:szCs w:val="21"/>
        </w:rPr>
        <w:t xml:space="preserve">测试场地检测装置</w:t>
      </w:r>
      <w:r>
        <w:tab/>
      </w:r>
      <w:r>
        <w:fldChar w:fldCharType="begin"/>
      </w:r>
      <w:r>
        <w:instrText xml:space="preserve"> PAGEREF _Toc28802 \h </w:instrText>
      </w:r>
      <w:r>
        <w:fldChar w:fldCharType="separate"/>
      </w:r>
      <w:r>
        <w:t xml:space="preserve">34</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_Toc17957 </w:instrText>
      </w:r>
      <w:r>
        <w:rPr>
          <w:rFonts w:ascii="Arial" w:hAnsi="Arial" w:eastAsia="黑体" w:cs="Arial"/>
          <w:bCs/>
        </w:rPr>
        <w:fldChar w:fldCharType="separate"/>
      </w:r>
      <w:r>
        <w:rPr>
          <w:rFonts w:hint="eastAsia" w:ascii="宋体" w:hAnsi="宋体" w:cs="宋体"/>
          <w:bCs/>
          <w:szCs w:val="21"/>
        </w:rPr>
        <w:t xml:space="preserve">1套</w:t>
      </w:r>
      <w:r>
        <w:tab/>
      </w:r>
      <w:r>
        <w:fldChar w:fldCharType="begin"/>
      </w:r>
      <w:r>
        <w:instrText xml:space="preserve"> PAGEREF _Toc17957 \h </w:instrText>
      </w:r>
      <w:r>
        <w:fldChar w:fldCharType="separate"/>
      </w:r>
      <w:r>
        <w:t xml:space="preserve">34</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_Toc16951 </w:instrText>
      </w:r>
      <w:r>
        <w:rPr>
          <w:rFonts w:ascii="Arial" w:hAnsi="Arial" w:eastAsia="黑体" w:cs="Arial"/>
          <w:bCs/>
        </w:rPr>
        <w:fldChar w:fldCharType="separate"/>
      </w:r>
      <w:r>
        <w:rPr>
          <w:rFonts w:hint="eastAsia" w:ascii="宋体" w:hAnsi="宋体" w:cs="宋体"/>
          <w:szCs w:val="21"/>
        </w:rPr>
        <w:t xml:space="preserve">品目3 数据中心能效检测装置</w:t>
      </w:r>
      <w:r>
        <w:tab/>
      </w:r>
      <w:r>
        <w:fldChar w:fldCharType="begin"/>
      </w:r>
      <w:r>
        <w:instrText xml:space="preserve"> PAGEREF _Toc16951 \h </w:instrText>
      </w:r>
      <w:r>
        <w:fldChar w:fldCharType="separate"/>
      </w:r>
      <w:r>
        <w:t xml:space="preserve">36</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_Toc20163 </w:instrText>
      </w:r>
      <w:r>
        <w:rPr>
          <w:rFonts w:ascii="Arial" w:hAnsi="Arial" w:eastAsia="黑体" w:cs="Arial"/>
          <w:bCs/>
        </w:rPr>
        <w:fldChar w:fldCharType="separate"/>
      </w:r>
      <w:r>
        <w:rPr>
          <w:rFonts w:hint="eastAsia" w:ascii="宋体" w:hAnsi="宋体" w:cs="宋体"/>
          <w:szCs w:val="21"/>
        </w:rPr>
        <w:t xml:space="preserve">2台</w:t>
      </w:r>
      <w:r>
        <w:tab/>
      </w:r>
      <w:r>
        <w:fldChar w:fldCharType="begin"/>
      </w:r>
      <w:r>
        <w:instrText xml:space="preserve"> PAGEREF _Toc20163 \h </w:instrText>
      </w:r>
      <w:r>
        <w:fldChar w:fldCharType="separate"/>
      </w:r>
      <w:r>
        <w:t xml:space="preserve">37</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_Toc32715 </w:instrText>
      </w:r>
      <w:r>
        <w:rPr>
          <w:rFonts w:ascii="Arial" w:hAnsi="Arial" w:eastAsia="黑体" w:cs="Arial"/>
          <w:bCs/>
        </w:rPr>
        <w:fldChar w:fldCharType="separate"/>
      </w:r>
      <w:r>
        <w:rPr>
          <w:rFonts w:hint="eastAsia" w:ascii="宋体" w:hAnsi="宋体" w:cs="宋体"/>
          <w:bCs/>
          <w:szCs w:val="21"/>
        </w:rPr>
        <w:t xml:space="preserve">★三、付款方式：</w:t>
      </w:r>
      <w:r>
        <w:tab/>
      </w:r>
      <w:r>
        <w:fldChar w:fldCharType="begin"/>
      </w:r>
      <w:r>
        <w:instrText xml:space="preserve"> PAGEREF _Toc32715 \h </w:instrText>
      </w:r>
      <w:r>
        <w:fldChar w:fldCharType="separate"/>
      </w:r>
      <w:r>
        <w:t xml:space="preserve">39</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_Toc7647 </w:instrText>
      </w:r>
      <w:r>
        <w:rPr>
          <w:rFonts w:ascii="Arial" w:hAnsi="Arial" w:eastAsia="黑体" w:cs="Arial"/>
          <w:bCs/>
        </w:rPr>
        <w:fldChar w:fldCharType="separate"/>
      </w:r>
      <w:r>
        <w:rPr>
          <w:rFonts w:hint="eastAsia" w:ascii="宋体" w:hAnsi="宋体" w:cs="宋体"/>
          <w:szCs w:val="21"/>
        </w:rPr>
        <w:t xml:space="preserve">四、方案要求</w:t>
      </w:r>
      <w:r>
        <w:rPr>
          <w:rFonts w:hint="eastAsia" w:ascii="宋体" w:hAnsi="宋体" w:cs="宋体"/>
          <w:bCs/>
          <w:szCs w:val="21"/>
          <w:lang w:eastAsia="zh-CN"/>
        </w:rPr>
        <w:t xml:space="preserve">（非技术及商务响应评分项）</w:t>
      </w:r>
      <w:r>
        <w:rPr>
          <w:rFonts w:hint="eastAsia" w:ascii="宋体" w:hAnsi="宋体" w:cs="宋体"/>
          <w:szCs w:val="21"/>
        </w:rPr>
        <w:t xml:space="preserve">：</w:t>
      </w:r>
      <w:r>
        <w:tab/>
      </w:r>
      <w:r>
        <w:fldChar w:fldCharType="begin"/>
      </w:r>
      <w:r>
        <w:instrText xml:space="preserve"> PAGEREF _Toc7647 \h </w:instrText>
      </w:r>
      <w:r>
        <w:fldChar w:fldCharType="separate"/>
      </w:r>
      <w:r>
        <w:t xml:space="preserve">40</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_Toc20618 </w:instrText>
      </w:r>
      <w:r>
        <w:rPr>
          <w:rFonts w:ascii="Arial" w:hAnsi="Arial" w:eastAsia="黑体" w:cs="Arial"/>
          <w:bCs/>
        </w:rPr>
        <w:fldChar w:fldCharType="separate"/>
      </w:r>
      <w:r>
        <w:rPr>
          <w:rFonts w:hint="eastAsia" w:ascii="宋体" w:hAnsi="宋体" w:cs="宋体"/>
          <w:szCs w:val="28"/>
        </w:rPr>
        <w:t xml:space="preserve">第五章 拟签订的合同文本</w:t>
      </w:r>
      <w:r>
        <w:tab/>
      </w:r>
      <w:r>
        <w:fldChar w:fldCharType="begin"/>
      </w:r>
      <w:r>
        <w:instrText xml:space="preserve"> PAGEREF _Toc20618 \h </w:instrText>
      </w:r>
      <w:r>
        <w:fldChar w:fldCharType="separate"/>
      </w:r>
      <w:r>
        <w:t xml:space="preserve">41</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_Toc3234 </w:instrText>
      </w:r>
      <w:r>
        <w:rPr>
          <w:rFonts w:ascii="Arial" w:hAnsi="Arial" w:eastAsia="黑体" w:cs="Arial"/>
          <w:bCs/>
        </w:rPr>
        <w:fldChar w:fldCharType="separate"/>
      </w:r>
      <w:r>
        <w:rPr>
          <w:rFonts w:hint="eastAsia" w:ascii="宋体" w:cs="宋体"/>
          <w:szCs w:val="28"/>
        </w:rPr>
        <w:t xml:space="preserve">第六章 投标文件格式及附件</w:t>
      </w:r>
      <w:r>
        <w:tab/>
      </w:r>
      <w:r>
        <w:fldChar w:fldCharType="begin"/>
      </w:r>
      <w:r>
        <w:instrText xml:space="preserve"> PAGEREF _Toc3234 \h </w:instrText>
      </w:r>
      <w:r>
        <w:fldChar w:fldCharType="separate"/>
      </w:r>
      <w:r>
        <w:t xml:space="preserve">47</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_Toc6237 </w:instrText>
      </w:r>
      <w:r>
        <w:rPr>
          <w:rFonts w:ascii="Arial" w:hAnsi="Arial" w:eastAsia="黑体" w:cs="Arial"/>
          <w:bCs/>
        </w:rPr>
        <w:fldChar w:fldCharType="separate"/>
      </w:r>
      <w:r>
        <w:rPr>
          <w:rFonts w:ascii="Arial" w:hAnsi="Arial"/>
          <w:bCs/>
          <w:szCs w:val="28"/>
        </w:rPr>
        <w:t xml:space="preserve">资格审查索引表</w:t>
      </w:r>
      <w:r>
        <w:tab/>
      </w:r>
      <w:r>
        <w:fldChar w:fldCharType="begin"/>
      </w:r>
      <w:r>
        <w:instrText xml:space="preserve"> PAGEREF _Toc6237 \h </w:instrText>
      </w:r>
      <w:r>
        <w:fldChar w:fldCharType="separate"/>
      </w:r>
      <w:r>
        <w:t xml:space="preserve">49</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_Toc6221 </w:instrText>
      </w:r>
      <w:r>
        <w:rPr>
          <w:rFonts w:ascii="Arial" w:hAnsi="Arial" w:eastAsia="黑体" w:cs="Arial"/>
          <w:bCs/>
        </w:rPr>
        <w:fldChar w:fldCharType="separate"/>
      </w:r>
      <w:r>
        <w:rPr>
          <w:rFonts w:hint="eastAsia" w:ascii="Arial" w:hAnsi="Arial"/>
          <w:bCs/>
          <w:szCs w:val="24"/>
        </w:rPr>
        <w:t xml:space="preserve">（具体详见招标文件第一章申请人的资格要求）</w:t>
      </w:r>
      <w:r>
        <w:tab/>
      </w:r>
      <w:r>
        <w:fldChar w:fldCharType="begin"/>
      </w:r>
      <w:r>
        <w:instrText xml:space="preserve"> PAGEREF _Toc6221 \h </w:instrText>
      </w:r>
      <w:r>
        <w:fldChar w:fldCharType="separate"/>
      </w:r>
      <w:r>
        <w:t xml:space="preserve">49</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_Toc9415 </w:instrText>
      </w:r>
      <w:r>
        <w:rPr>
          <w:rFonts w:ascii="Arial" w:hAnsi="Arial" w:eastAsia="黑体" w:cs="Arial"/>
          <w:bCs/>
        </w:rPr>
        <w:fldChar w:fldCharType="separate"/>
      </w:r>
      <w:r>
        <w:rPr>
          <w:rFonts w:ascii="Arial" w:hAnsi="Arial"/>
          <w:bCs/>
          <w:szCs w:val="28"/>
        </w:rPr>
        <w:t xml:space="preserve">评审索引表</w:t>
      </w:r>
      <w:r>
        <w:tab/>
      </w:r>
      <w:r>
        <w:fldChar w:fldCharType="begin"/>
      </w:r>
      <w:r>
        <w:instrText xml:space="preserve"> PAGEREF _Toc9415 \h </w:instrText>
      </w:r>
      <w:r>
        <w:fldChar w:fldCharType="separate"/>
      </w:r>
      <w:r>
        <w:t xml:space="preserve">50</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_Toc14695 </w:instrText>
      </w:r>
      <w:r>
        <w:rPr>
          <w:rFonts w:ascii="Arial" w:hAnsi="Arial" w:eastAsia="黑体" w:cs="Arial"/>
          <w:bCs/>
        </w:rPr>
        <w:fldChar w:fldCharType="separate"/>
      </w:r>
      <w:r>
        <w:rPr>
          <w:rFonts w:hint="eastAsia" w:ascii="Arial" w:hAnsi="Arial"/>
          <w:bCs/>
          <w:szCs w:val="24"/>
        </w:rPr>
        <w:t xml:space="preserve">（具体详见招标文件第三章评标标准）</w:t>
      </w:r>
      <w:r>
        <w:tab/>
      </w:r>
      <w:r>
        <w:fldChar w:fldCharType="begin"/>
      </w:r>
      <w:r>
        <w:instrText xml:space="preserve"> PAGEREF _Toc14695 \h </w:instrText>
      </w:r>
      <w:r>
        <w:fldChar w:fldCharType="separate"/>
      </w:r>
      <w:r>
        <w:t xml:space="preserve">50</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_Toc28809 </w:instrText>
      </w:r>
      <w:r>
        <w:rPr>
          <w:rFonts w:ascii="Arial" w:hAnsi="Arial" w:eastAsia="黑体" w:cs="Arial"/>
          <w:bCs/>
        </w:rPr>
        <w:fldChar w:fldCharType="separate"/>
      </w:r>
      <w:r>
        <w:rPr>
          <w:rFonts w:hint="eastAsia" w:ascii="宋体" w:cs="宋体"/>
          <w:bCs/>
        </w:rPr>
        <w:t xml:space="preserve">附件一 投标函格式</w:t>
      </w:r>
      <w:r>
        <w:tab/>
      </w:r>
      <w:r>
        <w:fldChar w:fldCharType="begin"/>
      </w:r>
      <w:r>
        <w:instrText xml:space="preserve"> PAGEREF _Toc28809 \h </w:instrText>
      </w:r>
      <w:r>
        <w:fldChar w:fldCharType="separate"/>
      </w:r>
      <w:r>
        <w:t xml:space="preserve">51</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_Toc17035 </w:instrText>
      </w:r>
      <w:r>
        <w:rPr>
          <w:rFonts w:ascii="Arial" w:hAnsi="Arial" w:eastAsia="黑体" w:cs="Arial"/>
          <w:bCs/>
        </w:rPr>
        <w:fldChar w:fldCharType="separate"/>
      </w:r>
      <w:r>
        <w:rPr>
          <w:rFonts w:hint="eastAsia" w:ascii="宋体" w:cs="宋体"/>
          <w:bCs/>
          <w:szCs w:val="22"/>
        </w:rPr>
        <w:t xml:space="preserve">附件二 开标一览表</w:t>
      </w:r>
      <w:r>
        <w:tab/>
      </w:r>
      <w:r>
        <w:fldChar w:fldCharType="begin"/>
      </w:r>
      <w:r>
        <w:instrText xml:space="preserve"> PAGEREF _Toc17035 \h </w:instrText>
      </w:r>
      <w:r>
        <w:fldChar w:fldCharType="separate"/>
      </w:r>
      <w:r>
        <w:t xml:space="preserve">52</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_Toc8960 </w:instrText>
      </w:r>
      <w:r>
        <w:rPr>
          <w:rFonts w:ascii="Arial" w:hAnsi="Arial" w:eastAsia="黑体" w:cs="Arial"/>
          <w:bCs/>
        </w:rPr>
        <w:fldChar w:fldCharType="separate"/>
      </w:r>
      <w:r>
        <w:rPr>
          <w:rFonts w:hint="eastAsia" w:ascii="宋体" w:cs="宋体"/>
          <w:bCs/>
          <w:szCs w:val="22"/>
        </w:rPr>
        <w:t xml:space="preserve">附件三 分项报价表</w:t>
      </w:r>
      <w:r>
        <w:tab/>
      </w:r>
      <w:r>
        <w:fldChar w:fldCharType="begin"/>
      </w:r>
      <w:r>
        <w:instrText xml:space="preserve"> PAGEREF _Toc8960 \h </w:instrText>
      </w:r>
      <w:r>
        <w:fldChar w:fldCharType="separate"/>
      </w:r>
      <w:r>
        <w:t xml:space="preserve">53</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_Toc2083 </w:instrText>
      </w:r>
      <w:r>
        <w:rPr>
          <w:rFonts w:ascii="Arial" w:hAnsi="Arial" w:eastAsia="黑体" w:cs="Arial"/>
          <w:bCs/>
        </w:rPr>
        <w:fldChar w:fldCharType="separate"/>
      </w:r>
      <w:r>
        <w:rPr>
          <w:rFonts w:hint="eastAsia" w:ascii="宋体" w:cs="宋体"/>
          <w:bCs/>
          <w:szCs w:val="22"/>
        </w:rPr>
        <w:t xml:space="preserve">附件四 商务条款偏离表</w:t>
      </w:r>
      <w:r>
        <w:tab/>
      </w:r>
      <w:r>
        <w:fldChar w:fldCharType="begin"/>
      </w:r>
      <w:r>
        <w:instrText xml:space="preserve"> PAGEREF _Toc2083 \h </w:instrText>
      </w:r>
      <w:r>
        <w:fldChar w:fldCharType="separate"/>
      </w:r>
      <w:r>
        <w:t xml:space="preserve">54</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_Toc26466 </w:instrText>
      </w:r>
      <w:r>
        <w:rPr>
          <w:rFonts w:ascii="Arial" w:hAnsi="Arial" w:eastAsia="黑体" w:cs="Arial"/>
          <w:bCs/>
        </w:rPr>
        <w:fldChar w:fldCharType="separate"/>
      </w:r>
      <w:r>
        <w:rPr>
          <w:rFonts w:hint="eastAsia" w:ascii="宋体" w:cs="宋体"/>
          <w:bCs/>
          <w:szCs w:val="22"/>
        </w:rPr>
        <w:t xml:space="preserve">附件五 技术条款偏离表</w:t>
      </w:r>
      <w:r>
        <w:tab/>
      </w:r>
      <w:r>
        <w:fldChar w:fldCharType="begin"/>
      </w:r>
      <w:r>
        <w:instrText xml:space="preserve"> PAGEREF _Toc26466 \h </w:instrText>
      </w:r>
      <w:r>
        <w:fldChar w:fldCharType="separate"/>
      </w:r>
      <w:r>
        <w:t xml:space="preserve">55</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_Toc30495 </w:instrText>
      </w:r>
      <w:r>
        <w:rPr>
          <w:rFonts w:ascii="Arial" w:hAnsi="Arial" w:eastAsia="黑体" w:cs="Arial"/>
          <w:bCs/>
        </w:rPr>
        <w:fldChar w:fldCharType="separate"/>
      </w:r>
      <w:r>
        <w:rPr>
          <w:rFonts w:hint="eastAsia" w:ascii="宋体" w:cs="宋体"/>
          <w:bCs/>
          <w:szCs w:val="22"/>
        </w:rPr>
        <w:t xml:space="preserve">附件六 政府采购政策</w:t>
      </w:r>
      <w:r>
        <w:tab/>
      </w:r>
      <w:r>
        <w:fldChar w:fldCharType="begin"/>
      </w:r>
      <w:r>
        <w:instrText xml:space="preserve"> PAGEREF _Toc30495 \h </w:instrText>
      </w:r>
      <w:r>
        <w:fldChar w:fldCharType="separate"/>
      </w:r>
      <w:r>
        <w:t xml:space="preserve">56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_Toc29485 </w:instrText>
      </w:r>
      <w:r>
        <w:rPr>
          <w:rFonts w:ascii="Arial" w:hAnsi="Arial" w:eastAsia="黑体" w:cs="Arial"/>
          <w:bCs/>
        </w:rPr>
        <w:fldChar w:fldCharType="separate"/>
      </w:r>
      <w:r>
        <w:rPr>
          <w:rFonts w:hint="eastAsia" w:ascii="宋体" w:cs="宋体"/>
          <w:bCs/>
          <w:szCs w:val="21"/>
        </w:rPr>
        <w:t xml:space="preserve">（一）</w:t>
      </w:r>
      <w:r>
        <w:rPr>
          <w:bCs/>
          <w:szCs w:val="24"/>
        </w:rPr>
        <w:t xml:space="preserve">中小企业声明函（货物）</w:t>
      </w:r>
      <w:r>
        <w:tab/>
      </w:r>
      <w:r>
        <w:fldChar w:fldCharType="begin"/>
      </w:r>
      <w:r>
        <w:instrText xml:space="preserve"> PAGEREF _Toc29485 \h </w:instrText>
      </w:r>
      <w:r>
        <w:fldChar w:fldCharType="separate"/>
      </w:r>
      <w:r>
        <w:t xml:space="preserve">56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_Toc8740 </w:instrText>
      </w:r>
      <w:r>
        <w:rPr>
          <w:rFonts w:ascii="Arial" w:hAnsi="Arial" w:eastAsia="黑体" w:cs="Arial"/>
          <w:bCs/>
        </w:rPr>
        <w:fldChar w:fldCharType="separate"/>
      </w:r>
      <w:r>
        <w:rPr>
          <w:rFonts w:hint="eastAsia" w:ascii="宋体" w:cs="宋体"/>
          <w:bCs/>
          <w:szCs w:val="21"/>
        </w:rPr>
        <w:t xml:space="preserve">（二）残疾人福利性单位声明函</w:t>
      </w:r>
      <w:r>
        <w:tab/>
      </w:r>
      <w:r>
        <w:fldChar w:fldCharType="begin"/>
      </w:r>
      <w:r>
        <w:instrText xml:space="preserve"> PAGEREF _Toc8740 \h </w:instrText>
      </w:r>
      <w:r>
        <w:fldChar w:fldCharType="separate"/>
      </w:r>
      <w:r>
        <w:t xml:space="preserve">58</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_Toc32007 </w:instrText>
      </w:r>
      <w:r>
        <w:rPr>
          <w:rFonts w:ascii="Arial" w:hAnsi="Arial" w:eastAsia="黑体" w:cs="Arial"/>
          <w:bCs/>
        </w:rPr>
        <w:fldChar w:fldCharType="separate"/>
      </w:r>
      <w:r>
        <w:rPr>
          <w:rFonts w:hint="eastAsia"/>
          <w:bCs/>
          <w:szCs w:val="21"/>
        </w:rPr>
        <w:t xml:space="preserve">（三）采购本国产品的支持政策</w:t>
      </w:r>
      <w:r>
        <w:tab/>
      </w:r>
      <w:r>
        <w:fldChar w:fldCharType="begin"/>
      </w:r>
      <w:r>
        <w:instrText xml:space="preserve"> PAGEREF _Toc32007 \h </w:instrText>
      </w:r>
      <w:r>
        <w:fldChar w:fldCharType="separate"/>
      </w:r>
      <w:r>
        <w:t xml:space="preserve">59</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_Toc374 </w:instrText>
      </w:r>
      <w:r>
        <w:rPr>
          <w:rFonts w:ascii="Arial" w:hAnsi="Arial" w:eastAsia="黑体" w:cs="Arial"/>
          <w:bCs/>
        </w:rPr>
        <w:fldChar w:fldCharType="separate"/>
      </w:r>
      <w:r>
        <w:rPr>
          <w:rFonts w:hint="eastAsia" w:ascii="宋体" w:hAnsi="宋体" w:cs="宋体"/>
        </w:rPr>
        <w:t xml:space="preserve">关于符合本国产品标准的声明函</w:t>
      </w:r>
      <w:r>
        <w:tab/>
      </w:r>
      <w:r>
        <w:fldChar w:fldCharType="begin"/>
      </w:r>
      <w:r>
        <w:instrText xml:space="preserve"> PAGEREF _Toc374 \h </w:instrText>
      </w:r>
      <w:r>
        <w:fldChar w:fldCharType="separate"/>
      </w:r>
      <w:r>
        <w:t xml:space="preserve">59</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_Toc3988 </w:instrText>
      </w:r>
      <w:r>
        <w:rPr>
          <w:rFonts w:ascii="Arial" w:hAnsi="Arial" w:eastAsia="黑体" w:cs="Arial"/>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_Toc3988 \h </w:instrText>
      </w:r>
      <w:r>
        <w:fldChar w:fldCharType="separate"/>
      </w:r>
      <w:r>
        <w:t xml:space="preserve">61</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_Toc17128 </w:instrText>
      </w:r>
      <w:r>
        <w:rPr>
          <w:rFonts w:ascii="Arial" w:hAnsi="Arial" w:eastAsia="黑体" w:cs="Arial"/>
          <w:bCs/>
        </w:rPr>
        <w:fldChar w:fldCharType="separate"/>
      </w:r>
      <w:r>
        <w:rPr>
          <w:rFonts w:hint="eastAsia"/>
          <w:bCs/>
          <w:szCs w:val="22"/>
          <w:lang w:val="zh-CN"/>
        </w:rPr>
        <w:t xml:space="preserve">附件</w:t>
      </w:r>
      <w:r>
        <w:rPr>
          <w:rFonts w:hint="eastAsia"/>
          <w:bCs/>
          <w:szCs w:val="22"/>
        </w:rPr>
        <w:t xml:space="preserve">七 </w:t>
      </w:r>
      <w:r>
        <w:rPr>
          <w:rFonts w:hint="eastAsia"/>
          <w:bCs/>
          <w:szCs w:val="22"/>
          <w:lang w:val="zh-CN"/>
        </w:rPr>
        <w:t xml:space="preserve">供应商情况告知表</w:t>
      </w:r>
      <w:r>
        <w:rPr>
          <w:rFonts w:hint="eastAsia"/>
          <w:bCs/>
          <w:szCs w:val="22"/>
        </w:rPr>
        <w:t xml:space="preserve">—附表</w:t>
      </w:r>
      <w:r>
        <w:tab/>
      </w:r>
      <w:r>
        <w:fldChar w:fldCharType="begin"/>
      </w:r>
      <w:r>
        <w:instrText xml:space="preserve"> PAGEREF _Toc17128 \h </w:instrText>
      </w:r>
      <w:r>
        <w:fldChar w:fldCharType="separate"/>
      </w:r>
      <w:r>
        <w:t xml:space="preserve">62</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_Toc16401 </w:instrText>
      </w:r>
      <w:r>
        <w:rPr>
          <w:rFonts w:ascii="Arial" w:hAnsi="Arial" w:eastAsia="黑体" w:cs="Arial"/>
          <w:bCs/>
        </w:rPr>
        <w:fldChar w:fldCharType="separate"/>
      </w:r>
      <w:r>
        <w:rPr>
          <w:rFonts w:hint="eastAsia" w:ascii="宋体" w:cs="宋体"/>
          <w:bCs/>
          <w:szCs w:val="22"/>
          <w:lang w:val="zh-CN"/>
        </w:rPr>
        <w:t xml:space="preserve">附件八 资格证明文件</w:t>
      </w:r>
      <w:r>
        <w:tab/>
      </w:r>
      <w:r>
        <w:fldChar w:fldCharType="begin"/>
      </w:r>
      <w:r>
        <w:instrText xml:space="preserve"> PAGEREF _Toc16401 \h </w:instrText>
      </w:r>
      <w:r>
        <w:fldChar w:fldCharType="separate"/>
      </w:r>
      <w:r>
        <w:t xml:space="preserve">65</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_Toc12950 </w:instrText>
      </w:r>
      <w:r>
        <w:rPr>
          <w:rFonts w:ascii="Arial" w:hAnsi="Arial" w:eastAsia="黑体" w:cs="Arial"/>
          <w:bCs/>
        </w:rPr>
        <w:fldChar w:fldCharType="separate"/>
      </w:r>
      <w:r>
        <w:rPr>
          <w:rFonts w:hint="eastAsia" w:ascii="宋体" w:cs="宋体"/>
          <w:bCs/>
          <w:szCs w:val="21"/>
          <w:lang w:val="zh-CN"/>
        </w:rPr>
        <w:t xml:space="preserve">1、法人或其他组织的营业执照等证明文件（复印件加盖公章）</w:t>
      </w:r>
      <w:r>
        <w:tab/>
      </w:r>
      <w:r>
        <w:fldChar w:fldCharType="begin"/>
      </w:r>
      <w:r>
        <w:instrText xml:space="preserve"> PAGEREF _Toc12950 \h </w:instrText>
      </w:r>
      <w:r>
        <w:fldChar w:fldCharType="separate"/>
      </w:r>
      <w:r>
        <w:t xml:space="preserve">65</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_Toc20150 </w:instrText>
      </w:r>
      <w:r>
        <w:rPr>
          <w:rFonts w:ascii="Arial" w:hAnsi="Arial" w:eastAsia="黑体" w:cs="Arial"/>
          <w:bCs/>
        </w:rPr>
        <w:fldChar w:fldCharType="separate"/>
      </w:r>
      <w:r>
        <w:rPr>
          <w:rFonts w:hint="eastAsia" w:ascii="宋体" w:cs="宋体"/>
          <w:bCs/>
          <w:szCs w:val="21"/>
          <w:lang w:val="zh-CN"/>
        </w:rPr>
        <w:t xml:space="preserve">2、法人代表授权书</w:t>
      </w:r>
      <w:r>
        <w:tab/>
      </w:r>
      <w:r>
        <w:fldChar w:fldCharType="begin"/>
      </w:r>
      <w:r>
        <w:instrText xml:space="preserve"> PAGEREF _Toc20150 \h </w:instrText>
      </w:r>
      <w:r>
        <w:fldChar w:fldCharType="separate"/>
      </w:r>
      <w:r>
        <w:t xml:space="preserve">66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_Toc19005 </w:instrText>
      </w:r>
      <w:r>
        <w:rPr>
          <w:rFonts w:ascii="Arial" w:hAnsi="Arial" w:eastAsia="黑体" w:cs="Arial"/>
          <w:bCs/>
        </w:rPr>
        <w:fldChar w:fldCharType="separate"/>
      </w:r>
      <w:r>
        <w:rPr>
          <w:rFonts w:hint="eastAsia" w:ascii="宋体" w:hAnsi="宋体" w:cs="宋体"/>
          <w:bCs/>
          <w:szCs w:val="21"/>
          <w:lang w:val="zh-CN"/>
        </w:rPr>
        <w:t xml:space="preserve">3、</w:t>
      </w:r>
      <w:r>
        <w:rPr>
          <w:rFonts w:hint="eastAsia" w:ascii="Arial" w:hAnsi="Arial" w:cs="Arial"/>
          <w:bCs/>
          <w:szCs w:val="21"/>
          <w:lang w:val="zh-CN"/>
        </w:rPr>
        <w:t xml:space="preserve">制造商授权书（</w:t>
      </w:r>
      <w:r>
        <w:rPr>
          <w:rFonts w:hint="eastAsia" w:ascii="Arial" w:hAnsi="Arial" w:cs="Arial"/>
          <w:bCs/>
          <w:szCs w:val="21"/>
        </w:rPr>
        <w:t xml:space="preserve">如需</w:t>
      </w:r>
      <w:r>
        <w:rPr>
          <w:rFonts w:hint="eastAsia" w:ascii="Arial" w:hAnsi="Arial" w:cs="Arial"/>
          <w:bCs/>
          <w:szCs w:val="21"/>
          <w:lang w:val="zh-CN"/>
        </w:rPr>
        <w:t xml:space="preserve">）</w:t>
      </w:r>
      <w:r>
        <w:tab/>
      </w:r>
      <w:r>
        <w:fldChar w:fldCharType="begin"/>
      </w:r>
      <w:r>
        <w:instrText xml:space="preserve"> PAGEREF _Toc19005 \h </w:instrText>
      </w:r>
      <w:r>
        <w:fldChar w:fldCharType="separate"/>
      </w:r>
      <w:r>
        <w:t xml:space="preserve">67</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_Toc10022 </w:instrText>
      </w:r>
      <w:r>
        <w:rPr>
          <w:rFonts w:ascii="Arial" w:hAnsi="Arial" w:eastAsia="黑体" w:cs="Arial"/>
          <w:bCs/>
        </w:rPr>
        <w:fldChar w:fldCharType="separate"/>
      </w:r>
      <w:r>
        <w:rPr>
          <w:rFonts w:hint="eastAsia" w:ascii="宋体" w:hAnsi="宋体" w:cs="宋体"/>
          <w:bCs/>
          <w:szCs w:val="21"/>
          <w:lang w:val="zh-CN"/>
        </w:rPr>
        <w:t xml:space="preserve">4、</w:t>
      </w:r>
      <w:r>
        <w:rPr>
          <w:rFonts w:hint="eastAsia" w:ascii="Arial" w:hAnsi="Arial" w:cs="Arial"/>
          <w:bCs/>
          <w:szCs w:val="21"/>
          <w:lang w:val="zh-CN"/>
        </w:rPr>
        <w:t xml:space="preserve">具有良好的商业信誉和健全的财务会计制度</w:t>
      </w:r>
      <w:r>
        <w:tab/>
      </w:r>
      <w:r>
        <w:fldChar w:fldCharType="begin"/>
      </w:r>
      <w:r>
        <w:instrText xml:space="preserve"> PAGEREF _Toc10022 \h </w:instrText>
      </w:r>
      <w:r>
        <w:fldChar w:fldCharType="separate"/>
      </w:r>
      <w:r>
        <w:t xml:space="preserve">68</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_Toc9311 </w:instrText>
      </w:r>
      <w:r>
        <w:rPr>
          <w:rFonts w:ascii="Arial" w:hAnsi="Arial" w:eastAsia="黑体" w:cs="Arial"/>
          <w:bCs/>
        </w:rPr>
        <w:fldChar w:fldCharType="separate"/>
      </w:r>
      <w:r>
        <w:rPr>
          <w:rFonts w:hint="eastAsia" w:ascii="宋体" w:hAnsi="宋体" w:cs="宋体"/>
          <w:bCs/>
          <w:szCs w:val="21"/>
        </w:rPr>
        <w:t xml:space="preserve">5、</w:t>
      </w:r>
      <w:r>
        <w:rPr>
          <w:rFonts w:hint="eastAsia" w:ascii="宋体" w:hAnsi="宋体" w:cs="宋体"/>
          <w:bCs/>
          <w:szCs w:val="21"/>
          <w:lang w:val="zh-CN"/>
        </w:rPr>
        <w:t xml:space="preserve">具</w:t>
      </w:r>
      <w:r>
        <w:rPr>
          <w:rFonts w:hint="eastAsia" w:ascii="Arial" w:hAnsi="Arial" w:cs="Arial"/>
          <w:bCs/>
          <w:szCs w:val="21"/>
          <w:lang w:val="zh-CN"/>
        </w:rPr>
        <w:t xml:space="preserve">有履行合同所必需的设备和专业技术能力</w:t>
      </w:r>
      <w:r>
        <w:tab/>
      </w:r>
      <w:r>
        <w:fldChar w:fldCharType="begin"/>
      </w:r>
      <w:r>
        <w:instrText xml:space="preserve"> PAGEREF _Toc9311 \h </w:instrText>
      </w:r>
      <w:r>
        <w:fldChar w:fldCharType="separate"/>
      </w:r>
      <w:r>
        <w:t xml:space="preserve">69</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_Toc10625 </w:instrText>
      </w:r>
      <w:r>
        <w:rPr>
          <w:rFonts w:ascii="Arial" w:hAnsi="Arial" w:eastAsia="黑体" w:cs="Arial"/>
          <w:bCs/>
        </w:rPr>
        <w:fldChar w:fldCharType="separate"/>
      </w:r>
      <w:r>
        <w:rPr>
          <w:rFonts w:hint="eastAsia" w:ascii="宋体" w:hAnsi="宋体" w:cs="宋体"/>
          <w:bCs/>
          <w:szCs w:val="21"/>
        </w:rPr>
        <w:t xml:space="preserve">6、</w:t>
      </w:r>
      <w:r>
        <w:rPr>
          <w:rFonts w:hint="eastAsia"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_Toc10625 \h </w:instrText>
      </w:r>
      <w:r>
        <w:fldChar w:fldCharType="separate"/>
      </w:r>
      <w:r>
        <w:t xml:space="preserve">70</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_Toc14757 </w:instrText>
      </w:r>
      <w:r>
        <w:rPr>
          <w:rFonts w:ascii="Arial" w:hAnsi="Arial" w:eastAsia="黑体" w:cs="Arial"/>
          <w:bCs/>
        </w:rPr>
        <w:fldChar w:fldCharType="separate"/>
      </w:r>
      <w:r>
        <w:rPr>
          <w:rFonts w:hint="eastAsia" w:ascii="宋体" w:hAnsi="宋体" w:cs="宋体"/>
          <w:bCs/>
          <w:szCs w:val="21"/>
        </w:rPr>
        <w:t xml:space="preserve">7、</w:t>
      </w:r>
      <w:r>
        <w:rPr>
          <w:rFonts w:hint="eastAsia" w:ascii="Arial" w:hAnsi="Arial" w:cs="Arial"/>
          <w:bCs/>
          <w:szCs w:val="21"/>
        </w:rPr>
        <w:t xml:space="preserve">依法缴纳税收的记录</w:t>
      </w:r>
      <w:r>
        <w:tab/>
      </w:r>
      <w:r>
        <w:fldChar w:fldCharType="begin"/>
      </w:r>
      <w:r>
        <w:instrText xml:space="preserve"> PAGEREF _Toc14757 \h </w:instrText>
      </w:r>
      <w:r>
        <w:fldChar w:fldCharType="separate"/>
      </w:r>
      <w:r>
        <w:t xml:space="preserve">71</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_Toc10444 </w:instrText>
      </w:r>
      <w:r>
        <w:rPr>
          <w:rFonts w:ascii="Arial" w:hAnsi="Arial" w:eastAsia="黑体" w:cs="Arial"/>
          <w:bCs/>
        </w:rPr>
        <w:fldChar w:fldCharType="separate"/>
      </w:r>
      <w:r>
        <w:rPr>
          <w:rFonts w:hint="eastAsia" w:ascii="宋体" w:hAnsi="宋体" w:cs="宋体"/>
          <w:bCs/>
          <w:szCs w:val="21"/>
        </w:rPr>
        <w:t xml:space="preserve">8、</w:t>
      </w:r>
      <w:r>
        <w:rPr>
          <w:rFonts w:hint="eastAsia" w:ascii="Arial" w:hAnsi="Arial" w:cs="Arial"/>
          <w:bCs/>
          <w:szCs w:val="21"/>
        </w:rPr>
        <w:t xml:space="preserve">依法缴纳社会保障资金的记录</w:t>
      </w:r>
      <w:r>
        <w:tab/>
      </w:r>
      <w:r>
        <w:fldChar w:fldCharType="begin"/>
      </w:r>
      <w:r>
        <w:instrText xml:space="preserve"> PAGEREF _Toc10444 \h </w:instrText>
      </w:r>
      <w:r>
        <w:fldChar w:fldCharType="separate"/>
      </w:r>
      <w:r>
        <w:t xml:space="preserve">72</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_Toc16913 </w:instrText>
      </w:r>
      <w:r>
        <w:rPr>
          <w:rFonts w:ascii="Arial" w:hAnsi="Arial" w:eastAsia="黑体" w:cs="Arial"/>
          <w:bCs/>
        </w:rPr>
        <w:fldChar w:fldCharType="separate"/>
      </w:r>
      <w:r>
        <w:rPr>
          <w:rFonts w:hint="eastAsia" w:ascii="宋体" w:hAnsi="宋体" w:cs="宋体"/>
          <w:bCs/>
          <w:szCs w:val="21"/>
        </w:rPr>
        <w:t xml:space="preserve">9、针对本项目的特定资格要求（如有）</w:t>
      </w:r>
      <w:r>
        <w:tab/>
      </w:r>
      <w:r>
        <w:fldChar w:fldCharType="begin"/>
      </w:r>
      <w:r>
        <w:instrText xml:space="preserve"> PAGEREF _Toc16913 \h </w:instrText>
      </w:r>
      <w:r>
        <w:fldChar w:fldCharType="separate"/>
      </w:r>
      <w:r>
        <w:t xml:space="preserve">73</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_Toc12743 </w:instrText>
      </w:r>
      <w:r>
        <w:rPr>
          <w:rFonts w:ascii="Arial" w:hAnsi="Arial" w:eastAsia="黑体" w:cs="Arial"/>
          <w:bCs/>
        </w:rPr>
        <w:fldChar w:fldCharType="separate"/>
      </w:r>
      <w:r>
        <w:rPr>
          <w:rFonts w:hint="eastAsia" w:ascii="宋体" w:hAnsi="宋体" w:cs="宋体"/>
          <w:bCs/>
          <w:szCs w:val="21"/>
        </w:rPr>
        <w:t xml:space="preserve">10、符合招标文件第一章“拒绝下述供应商参加本次采购活动的情形”中第 1）条的声明或证明材料（加盖单位公章）</w:t>
      </w:r>
      <w:r>
        <w:tab/>
      </w:r>
      <w:r>
        <w:fldChar w:fldCharType="begin"/>
      </w:r>
      <w:r>
        <w:instrText xml:space="preserve"> PAGEREF _Toc12743 \h </w:instrText>
      </w:r>
      <w:r>
        <w:fldChar w:fldCharType="separate"/>
      </w:r>
      <w:r>
        <w:t xml:space="preserve">74</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_Toc8447 </w:instrText>
      </w:r>
      <w:r>
        <w:rPr>
          <w:rFonts w:ascii="Arial" w:hAnsi="Arial" w:eastAsia="黑体" w:cs="Arial"/>
          <w:bCs/>
        </w:rPr>
        <w:fldChar w:fldCharType="separate"/>
      </w:r>
      <w:r>
        <w:rPr>
          <w:rFonts w:hint="eastAsia" w:hAnsi="宋体" w:cs="宋体"/>
          <w:bCs/>
          <w:szCs w:val="21"/>
        </w:rPr>
        <w:t xml:space="preserve">11、符合招标文件第一章“拒绝下述供应商参加本次采购活动的情形”中第 2）条的声明（加盖单位公章）</w:t>
      </w:r>
      <w:r>
        <w:tab/>
      </w:r>
      <w:r>
        <w:fldChar w:fldCharType="begin"/>
      </w:r>
      <w:r>
        <w:instrText xml:space="preserve"> PAGEREF _Toc8447 \h </w:instrText>
      </w:r>
      <w:r>
        <w:fldChar w:fldCharType="separate"/>
      </w:r>
      <w:r>
        <w:t xml:space="preserve">75</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_Toc1402 </w:instrText>
      </w:r>
      <w:r>
        <w:rPr>
          <w:rFonts w:ascii="Arial" w:hAnsi="Arial" w:eastAsia="黑体" w:cs="Arial"/>
          <w:bCs/>
        </w:rPr>
        <w:fldChar w:fldCharType="separate"/>
      </w:r>
      <w:r>
        <w:rPr>
          <w:rFonts w:hint="eastAsia" w:ascii="宋体" w:hAnsi="宋体" w:cs="宋体"/>
          <w:bCs/>
          <w:szCs w:val="21"/>
        </w:rPr>
        <w:t xml:space="preserve">12、本项目不接受联合体投标，中标后不允许分包、转包。</w:t>
      </w:r>
      <w:r>
        <w:tab/>
      </w:r>
      <w:r>
        <w:fldChar w:fldCharType="begin"/>
      </w:r>
      <w:r>
        <w:instrText xml:space="preserve"> PAGEREF _Toc1402 \h </w:instrText>
      </w:r>
      <w:r>
        <w:fldChar w:fldCharType="separate"/>
      </w:r>
      <w:r>
        <w:t xml:space="preserve">76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_Toc14863 </w:instrText>
      </w:r>
      <w:r>
        <w:rPr>
          <w:rFonts w:ascii="Arial" w:hAnsi="Arial" w:eastAsia="黑体" w:cs="Arial"/>
          <w:bCs/>
        </w:rPr>
        <w:fldChar w:fldCharType="separate"/>
      </w:r>
      <w:r>
        <w:rPr>
          <w:rFonts w:hint="eastAsia" w:ascii="宋体" w:hAnsi="宋体" w:cs="宋体"/>
          <w:szCs w:val="21"/>
        </w:rPr>
        <w:t xml:space="preserve">参考格式：</w:t>
      </w:r>
      <w:r>
        <w:tab/>
      </w:r>
      <w:r>
        <w:fldChar w:fldCharType="begin"/>
      </w:r>
      <w:r>
        <w:instrText xml:space="preserve"> PAGEREF _Toc14863 \h </w:instrText>
      </w:r>
      <w:r>
        <w:fldChar w:fldCharType="separate"/>
      </w:r>
      <w:r>
        <w:t xml:space="preserve">76</w:t>
      </w:r>
      <w:r>
        <w:fldChar w:fldCharType="end"/>
      </w:r>
      <w:r>
        <w:rPr>
          <w:rFonts w:ascii="Arial" w:hAnsi="Arial" w:eastAsia="黑体" w:cs="Arial"/>
          <w:bCs/>
        </w:rPr>
        <w:fldChar w:fldCharType="end"/>
      </w:r>
      <w:r/>
    </w:p>
    <w:p>
      <w:pPr>
        <w:pStyle w:val="1295"/>
        <w:tabs>
          <w:tab w:val="right" w:pos="9638" w:leader="dot"/>
        </w:tabs>
      </w:pPr>
      <w:r>
        <w:rPr>
          <w:rFonts w:ascii="Arial" w:hAnsi="Arial" w:eastAsia="黑体" w:cs="Arial"/>
          <w:bCs/>
        </w:rPr>
        <w:fldChar w:fldCharType="begin"/>
      </w:r>
      <w:r>
        <w:rPr>
          <w:rFonts w:ascii="Arial" w:hAnsi="Arial" w:eastAsia="黑体" w:cs="Arial"/>
          <w:bCs/>
        </w:rPr>
        <w:instrText xml:space="preserve"> HYPERLINK \l _Toc19695 </w:instrText>
      </w:r>
      <w:r>
        <w:rPr>
          <w:rFonts w:ascii="Arial" w:hAnsi="Arial" w:eastAsia="黑体" w:cs="Arial"/>
          <w:bCs/>
        </w:rPr>
        <w:fldChar w:fldCharType="separate"/>
      </w:r>
      <w:r>
        <w:rPr>
          <w:rFonts w:hint="eastAsia" w:ascii="宋体" w:hAnsi="宋体" w:cs="宋体"/>
          <w:bCs/>
          <w:szCs w:val="21"/>
        </w:rPr>
        <w:t xml:space="preserve">13、供应商认为其需要提供的其他资格证明文件。</w:t>
      </w:r>
      <w:r>
        <w:tab/>
      </w:r>
      <w:r>
        <w:fldChar w:fldCharType="begin"/>
      </w:r>
      <w:r>
        <w:instrText xml:space="preserve"> PAGEREF _Toc19695 \h </w:instrText>
      </w:r>
      <w:r>
        <w:fldChar w:fldCharType="separate"/>
      </w:r>
      <w:r>
        <w:t xml:space="preserve">77</w:t>
      </w:r>
      <w:r>
        <w:fldChar w:fldCharType="end"/>
      </w:r>
      <w:r>
        <w:rPr>
          <w:rFonts w:ascii="Arial" w:hAnsi="Arial" w:eastAsia="黑体" w:cs="Arial"/>
          <w:bCs/>
        </w:rPr>
        <w:fldChar w:fldCharType="end"/>
      </w:r>
      <w:r/>
    </w:p>
    <w:p>
      <w:pPr>
        <w:pStyle w:val="1307"/>
        <w:tabs>
          <w:tab w:val="right" w:pos="9638" w:leader="dot"/>
        </w:tabs>
      </w:pPr>
      <w:r>
        <w:rPr>
          <w:rFonts w:ascii="Arial" w:hAnsi="Arial" w:eastAsia="黑体" w:cs="Arial"/>
          <w:bCs/>
        </w:rPr>
        <w:fldChar w:fldCharType="begin"/>
      </w:r>
      <w:r>
        <w:rPr>
          <w:rFonts w:ascii="Arial" w:hAnsi="Arial" w:eastAsia="黑体" w:cs="Arial"/>
          <w:bCs/>
        </w:rPr>
        <w:instrText xml:space="preserve"> HYPERLINK \l _Toc15972 </w:instrText>
      </w:r>
      <w:r>
        <w:rPr>
          <w:rFonts w:ascii="Arial" w:hAnsi="Arial" w:eastAsia="黑体" w:cs="Arial"/>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_Toc15972 \h </w:instrText>
      </w:r>
      <w:r>
        <w:fldChar w:fldCharType="separate"/>
      </w:r>
      <w:r>
        <w:t xml:space="preserve">78</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_Toc30709 </w:instrText>
      </w:r>
      <w:r>
        <w:rPr>
          <w:rFonts w:ascii="Arial" w:hAnsi="Arial" w:eastAsia="黑体" w:cs="Arial"/>
          <w:bCs/>
        </w:rPr>
        <w:fldChar w:fldCharType="separate"/>
      </w:r>
      <w:r>
        <w:rPr>
          <w:rFonts w:hint="eastAsia" w:ascii="宋体" w:hAnsi="宋体" w:cs="宋体"/>
          <w:bCs/>
          <w:szCs w:val="21"/>
        </w:rPr>
        <w:t xml:space="preserve">1套</w:t>
      </w:r>
      <w:r>
        <w:tab/>
      </w:r>
      <w:r>
        <w:fldChar w:fldCharType="begin"/>
      </w:r>
      <w:r>
        <w:instrText xml:space="preserve"> PAGEREF _Toc30709 \h </w:instrText>
      </w:r>
      <w:r>
        <w:fldChar w:fldCharType="separate"/>
      </w:r>
      <w:r>
        <w:t xml:space="preserve">78</w:t>
      </w:r>
      <w:r>
        <w:fldChar w:fldCharType="end"/>
      </w:r>
      <w:r>
        <w:rPr>
          <w:rFonts w:ascii="Arial" w:hAnsi="Arial" w:eastAsia="黑体" w:cs="Arial"/>
          <w:bCs/>
        </w:rPr>
        <w:fldChar w:fldCharType="end"/>
      </w:r>
      <w:r/>
    </w:p>
    <w:p>
      <w:pPr>
        <w:pStyle w:val="1303"/>
        <w:tabs>
          <w:tab w:val="right" w:pos="9638" w:leader="dot"/>
        </w:tabs>
      </w:pPr>
      <w:r>
        <w:rPr>
          <w:rFonts w:ascii="Arial" w:hAnsi="Arial" w:eastAsia="黑体" w:cs="Arial"/>
          <w:bCs/>
        </w:rPr>
        <w:fldChar w:fldCharType="begin"/>
      </w:r>
      <w:r>
        <w:rPr>
          <w:rFonts w:ascii="Arial" w:hAnsi="Arial" w:eastAsia="黑体" w:cs="Arial"/>
          <w:bCs/>
        </w:rPr>
        <w:instrText xml:space="preserve"> HYPERLINK \l _Toc15587 </w:instrText>
      </w:r>
      <w:r>
        <w:rPr>
          <w:rFonts w:ascii="Arial" w:hAnsi="Arial" w:eastAsia="黑体" w:cs="Arial"/>
          <w:bCs/>
        </w:rPr>
        <w:fldChar w:fldCharType="separate"/>
      </w:r>
      <w:r>
        <w:rPr>
          <w:rFonts w:hint="eastAsia" w:ascii="宋体" w:hAnsi="宋体" w:cs="宋体"/>
          <w:szCs w:val="21"/>
        </w:rPr>
        <w:t xml:space="preserve">2台</w:t>
      </w:r>
      <w:r>
        <w:tab/>
      </w:r>
      <w:r>
        <w:fldChar w:fldCharType="begin"/>
      </w:r>
      <w:r>
        <w:instrText xml:space="preserve"> PAGEREF _Toc15587 \h </w:instrText>
      </w:r>
      <w:r>
        <w:fldChar w:fldCharType="separate"/>
      </w:r>
      <w:r>
        <w:t xml:space="preserve">79</w:t>
      </w:r>
      <w:r>
        <w:fldChar w:fldCharType="end"/>
      </w:r>
      <w:r>
        <w:rPr>
          <w:rFonts w:ascii="Arial" w:hAnsi="Arial" w:eastAsia="黑体" w:cs="Arial"/>
          <w:bCs/>
        </w:rPr>
        <w:fldChar w:fldCharType="end"/>
      </w:r>
      <w:r/>
    </w:p>
    <w:p>
      <w:pPr>
        <w:pStyle w:val="1275"/>
        <w:jc w:val="center"/>
        <w:spacing w:line="440" w:lineRule="exact"/>
        <w:rPr>
          <w:rFonts w:hint="eastAsia" w:ascii="Arial" w:hAnsi="Arial" w:eastAsia="黑体" w:cs="Arial"/>
          <w:b/>
          <w:sz w:val="28"/>
          <w:szCs w:val="28"/>
        </w:rPr>
        <w:outlineLvl w:val="0"/>
      </w:pPr>
      <w:r>
        <w:rPr>
          <w:rFonts w:ascii="Arial" w:hAnsi="Arial" w:eastAsia="黑体" w:cs="Arial"/>
          <w:bCs/>
        </w:rPr>
        <w:fldChar w:fldCharType="end"/>
      </w:r>
      <w:bookmarkStart w:id="0" w:name="_Toc22539"/>
      <w:r>
        <w:rPr>
          <w:rFonts w:ascii="Arial" w:hAnsi="Arial" w:eastAsia="黑体" w:cs="Arial"/>
          <w:bCs/>
        </w:rPr>
        <w:br w:type="page" w:clear="all"/>
      </w:r>
      <w:r>
        <w:rPr>
          <w:rFonts w:hint="eastAsia" w:ascii="Arial" w:hAnsi="Arial" w:eastAsia="黑体" w:cs="Arial"/>
          <w:b/>
          <w:sz w:val="28"/>
          <w:szCs w:val="28"/>
        </w:rPr>
        <w:t xml:space="preserve">第一章 招标公告</w:t>
      </w:r>
      <w:bookmarkEnd w:id="0"/>
      <w:r>
        <w:rPr>
          <w:rFonts w:hint="eastAsia" w:ascii="Arial" w:hAnsi="Arial" w:eastAsia="黑体" w:cs="Arial"/>
          <w:b/>
          <w:sz w:val="28"/>
          <w:szCs w:val="28"/>
        </w:rPr>
      </w:r>
      <w:r/>
    </w:p>
    <w:p>
      <w:pPr>
        <w:pStyle w:val="1275"/>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275"/>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高频微波场强标准装置等设备采购</w:t>
      </w:r>
      <w:r>
        <w:rPr>
          <w:rFonts w:hint="eastAsia" w:ascii="宋体" w:hAnsi="宋体" w:cs="宋体"/>
          <w:szCs w:val="21"/>
        </w:rPr>
        <w:t xml:space="preserve">招标项目的潜在投标人应在</w:t>
      </w:r>
      <w:r>
        <w:rPr>
          <w:rFonts w:hint="eastAsia" w:ascii="宋体" w:hAnsi="宋体" w:cs="宋体"/>
          <w:szCs w:val="21"/>
          <w:u w:val="single"/>
        </w:rPr>
        <w:t xml:space="preserve">江苏苏美达仪器设备有限公司 南京市长江路198号14楼</w:t>
      </w:r>
      <w:r>
        <w:rPr>
          <w:rFonts w:hint="eastAsia" w:ascii="宋体" w:hAnsi="宋体" w:cs="宋体"/>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4</w:t>
      </w:r>
      <w:r>
        <w:rPr>
          <w:rFonts w:hint="eastAsia" w:ascii="宋体" w:hAnsi="宋体" w:cs="宋体"/>
          <w:szCs w:val="21"/>
          <w:u w:val="single"/>
        </w:rPr>
        <w:t xml:space="preserve">月</w:t>
      </w:r>
      <w:r>
        <w:rPr>
          <w:rFonts w:hint="eastAsia" w:ascii="宋体" w:hAnsi="宋体" w:cs="宋体"/>
          <w:szCs w:val="21"/>
          <w:u w:val="single"/>
          <w:lang w:val="en-US" w:eastAsia="zh-CN"/>
        </w:rPr>
        <w:t xml:space="preserve">15</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277"/>
        <w:spacing w:before="20" w:after="20" w:line="360" w:lineRule="auto"/>
        <w:rPr>
          <w:rFonts w:hint="eastAsia" w:ascii="宋体" w:hAnsi="宋体" w:eastAsia="宋体" w:cs="宋体"/>
          <w:b w:val="0"/>
          <w:sz w:val="21"/>
          <w:szCs w:val="21"/>
          <w:highlight w:val="none"/>
        </w:rPr>
      </w:pPr>
      <w:r/>
      <w:bookmarkStart w:id="1" w:name="_Toc35393790"/>
      <w:r/>
      <w:bookmarkStart w:id="2" w:name="_Toc28359002"/>
      <w:r/>
      <w:bookmarkStart w:id="3" w:name="_Toc35393621"/>
      <w:r/>
      <w:bookmarkStart w:id="4" w:name="_Toc28359079"/>
      <w:r/>
      <w:bookmarkStart w:id="5" w:name="_Toc18511"/>
      <w:r/>
      <w:bookmarkStart w:id="6" w:name="_Hlk24379207"/>
      <w:r>
        <w:rPr>
          <w:rFonts w:hint="eastAsia" w:ascii="宋体" w:hAnsi="宋体" w:eastAsia="宋体" w:cs="宋体"/>
          <w:b w:val="0"/>
          <w:sz w:val="21"/>
          <w:szCs w:val="21"/>
        </w:rPr>
        <w:t xml:space="preserve">一、项目基本情况</w:t>
      </w:r>
      <w:bookmarkEnd w:id="1"/>
      <w:r/>
      <w:bookmarkEnd w:id="2"/>
      <w:r/>
      <w:bookmarkEnd w:id="3"/>
      <w:r/>
      <w:bookmarkEnd w:id="4"/>
      <w:r/>
      <w:bookmarkEnd w:id="5"/>
      <w:r>
        <w:rPr>
          <w:rFonts w:hint="eastAsia" w:ascii="宋体" w:hAnsi="宋体" w:eastAsia="宋体" w:cs="宋体"/>
          <w:b w:val="0"/>
          <w:sz w:val="21"/>
          <w:szCs w:val="21"/>
          <w:highlight w:val="none"/>
        </w:rPr>
      </w:r>
      <w:r/>
    </w:p>
    <w:p>
      <w:pPr>
        <w:pStyle w:val="1275"/>
        <w:ind w:firstLine="420"/>
        <w:spacing w:line="360" w:lineRule="auto"/>
        <w:rPr>
          <w:rFonts w:hint="eastAsia" w:ascii="宋体" w:hAnsi="宋体" w:cs="宋体"/>
          <w:color w:val="ff0000"/>
          <w:szCs w:val="21"/>
          <w:highlight w:val="none"/>
        </w:rPr>
      </w:pPr>
      <w:r>
        <w:rPr>
          <w:rFonts w:hint="eastAsia" w:ascii="宋体" w:hAnsi="宋体" w:cs="宋体"/>
          <w:szCs w:val="21"/>
          <w:highlight w:val="none"/>
        </w:rPr>
        <w:t xml:space="preserve">1.项目编号：2640SUMEC/ZWGG2026（</w:t>
      </w:r>
      <w:r>
        <w:rPr>
          <w:rFonts w:hint="eastAsia" w:ascii="宋体" w:hAnsi="宋体" w:cs="宋体"/>
          <w:szCs w:val="21"/>
          <w:highlight w:val="none"/>
          <w:lang w:eastAsia="zh-CN"/>
        </w:rPr>
        <w:t xml:space="preserve">JSZC-320000-SMDY-G2026-0008</w:t>
      </w:r>
      <w:r>
        <w:rPr>
          <w:rFonts w:hint="eastAsia" w:ascii="宋体" w:hAnsi="宋体" w:cs="宋体"/>
          <w:szCs w:val="21"/>
          <w:highlight w:val="none"/>
        </w:rPr>
        <w:t xml:space="preserve">）</w:t>
      </w:r>
      <w:r>
        <w:rPr>
          <w:rFonts w:hint="eastAsia" w:ascii="宋体" w:hAnsi="宋体" w:cs="宋体"/>
          <w:color w:val="ff0000"/>
          <w:szCs w:val="21"/>
          <w:highlight w:val="none"/>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2.项目名称：</w:t>
      </w:r>
      <w:bookmarkEnd w:id="6"/>
      <w:r>
        <w:rPr>
          <w:rFonts w:hint="eastAsia" w:ascii="宋体" w:hAnsi="宋体" w:cs="宋体"/>
          <w:szCs w:val="21"/>
        </w:rPr>
        <w:t xml:space="preserve">高频微波场强标准装置等设备采购</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3.预算金额：人民币246.566万元</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4.最高限价：详</w:t>
      </w:r>
      <w:r>
        <w:rPr>
          <w:rFonts w:hint="eastAsia" w:ascii="宋体" w:hAnsi="宋体" w:cs="宋体"/>
          <w:szCs w:val="21"/>
          <w:highlight w:val="none"/>
        </w:rPr>
        <w:t xml:space="preserve">见采购需求</w:t>
      </w:r>
      <w:r>
        <w:rPr>
          <w:rFonts w:hint="eastAsia"/>
          <w:highlight w:val="none"/>
        </w:rPr>
        <w:t xml:space="preserve">，超过对应品目最高限价的将作无效投标处理。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8"/>
        <w:gridCol w:w="3414"/>
        <w:gridCol w:w="946"/>
        <w:gridCol w:w="1200"/>
        <w:gridCol w:w="2138"/>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数量（套/台）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高频微波场强标准装置</w:t>
            </w:r>
            <w:r>
              <w:rPr>
                <w:rFonts w:hint="eastAsia" w:ascii="宋体" w:hAnsi="宋体" w:cs="宋体"/>
                <w:b/>
                <w:bCs/>
                <w:color w:val="ff0000"/>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ascii="宋体" w:hAnsi="宋体" w:cs="宋体"/>
              </w:rPr>
            </w:pPr>
            <w:r>
              <w:rPr>
                <w:rFonts w:hint="eastAsia" w:ascii="宋体" w:hAnsi="宋体" w:cs="宋体"/>
              </w:rPr>
              <w:t xml:space="preserve">110.70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1275"/>
              <w:jc w:val="center"/>
              <w:rPr>
                <w:rFonts w:hint="eastAsia" w:ascii="宋体" w:hAnsi="宋体" w:cs="宋体"/>
              </w:rPr>
            </w:pPr>
            <w:r>
              <w:rPr>
                <w:rFonts w:hint="eastAsia" w:ascii="宋体" w:hAnsi="宋体" w:cs="宋体"/>
              </w:rPr>
              <w:t xml:space="preserve">合同签订后4个月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测试场地检测装置</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ascii="宋体" w:hAnsi="宋体" w:cs="宋体"/>
              </w:rPr>
            </w:pPr>
            <w:r>
              <w:rPr>
                <w:rFonts w:hint="eastAsia" w:ascii="宋体" w:hAnsi="宋体" w:cs="宋体"/>
              </w:rPr>
              <w:t xml:space="preserve">83.10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1275"/>
              <w:jc w:val="center"/>
              <w:rPr>
                <w:rFonts w:hint="eastAsia" w:ascii="宋体" w:hAnsi="宋体" w:cs="宋体"/>
              </w:rPr>
            </w:pPr>
            <w:r>
              <w:rPr>
                <w:rFonts w:hint="eastAsia" w:ascii="宋体" w:hAnsi="宋体" w:cs="宋体"/>
              </w:rPr>
              <w:t xml:space="preserve">合同签订后2个月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数据中心能效检测装置</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52.766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1275"/>
              <w:jc w:val="center"/>
              <w:rPr>
                <w:rFonts w:hint="eastAsia" w:ascii="宋体" w:hAnsi="宋体" w:cs="宋体"/>
              </w:rPr>
            </w:pPr>
            <w:r>
              <w:rPr>
                <w:rFonts w:hint="eastAsia" w:ascii="宋体" w:hAnsi="宋体" w:cs="宋体"/>
              </w:rPr>
              <w:t xml:space="preserve">合同签订后3个月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5"/>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275"/>
        <w:ind w:firstLine="420"/>
        <w:spacing w:line="360" w:lineRule="auto"/>
        <w:rPr>
          <w:rFonts w:hint="eastAsia" w:ascii="宋体" w:hAnsi="宋体" w:cs="宋体"/>
          <w:szCs w:val="21"/>
        </w:rPr>
      </w:pPr>
      <w:r>
        <w:rPr>
          <w:rFonts w:hint="eastAsia" w:ascii="宋体" w:hAnsi="宋体" w:cs="宋体"/>
          <w:szCs w:val="21"/>
        </w:rPr>
        <w:t xml:space="preserve">★6.合同履行期限：详见采购需求。</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277"/>
        <w:spacing w:before="20" w:after="20" w:line="360" w:lineRule="auto"/>
        <w:rPr>
          <w:rFonts w:hint="eastAsia" w:ascii="宋体" w:hAnsi="宋体" w:eastAsia="宋体" w:cs="宋体"/>
          <w:b w:val="0"/>
          <w:sz w:val="21"/>
          <w:szCs w:val="21"/>
        </w:rPr>
      </w:pPr>
      <w:r/>
      <w:bookmarkStart w:id="7" w:name="_Toc28359003"/>
      <w:r/>
      <w:bookmarkStart w:id="8" w:name="_Toc35393791"/>
      <w:r/>
      <w:bookmarkStart w:id="9" w:name="_Toc28359080"/>
      <w:r/>
      <w:bookmarkStart w:id="10" w:name="_Toc35393622"/>
      <w:r/>
      <w:bookmarkStart w:id="11" w:name="_Toc32577"/>
      <w:r>
        <w:rPr>
          <w:rFonts w:hint="eastAsia" w:ascii="宋体" w:hAnsi="宋体" w:eastAsia="宋体" w:cs="宋体"/>
          <w:b w:val="0"/>
          <w:sz w:val="21"/>
          <w:szCs w:val="21"/>
        </w:rPr>
        <w:t xml:space="preserve">二、申请人的资格要</w:t>
      </w:r>
      <w:bookmarkEnd w:id="7"/>
      <w:r/>
      <w:bookmarkEnd w:id="8"/>
      <w:r/>
      <w:bookmarkEnd w:id="9"/>
      <w:r/>
      <w:bookmarkEnd w:id="10"/>
      <w:r>
        <w:rPr>
          <w:rFonts w:hint="eastAsia" w:ascii="宋体" w:hAnsi="宋体" w:eastAsia="宋体" w:cs="宋体"/>
          <w:b w:val="0"/>
          <w:sz w:val="21"/>
          <w:szCs w:val="21"/>
        </w:rPr>
        <w:t xml:space="preserve">求：</w:t>
      </w:r>
      <w:bookmarkEnd w:id="11"/>
      <w:r>
        <w:rPr>
          <w:rFonts w:hint="eastAsia" w:ascii="宋体" w:hAnsi="宋体" w:eastAsia="宋体" w:cs="宋体"/>
          <w:b w:val="0"/>
          <w:sz w:val="21"/>
          <w:szCs w:val="21"/>
        </w:rPr>
      </w:r>
      <w:r/>
    </w:p>
    <w:p>
      <w:pPr>
        <w:pStyle w:val="1275"/>
        <w:ind w:firstLine="420"/>
        <w:spacing w:line="480" w:lineRule="exact"/>
        <w:rPr>
          <w:rFonts w:hint="eastAsia" w:ascii="宋体" w:cs="宋体"/>
          <w:szCs w:val="21"/>
        </w:rPr>
      </w:pPr>
      <w:r/>
      <w:bookmarkStart w:id="12" w:name="_Toc28359081"/>
      <w:r/>
      <w:bookmarkStart w:id="13" w:name="_Toc35393623"/>
      <w:r/>
      <w:bookmarkStart w:id="14" w:name="_Toc28359004"/>
      <w:r/>
      <w:bookmarkStart w:id="15" w:name="_Toc35393792"/>
      <w:r>
        <w:rPr>
          <w:rFonts w:hint="eastAsia" w:ascii="宋体" w:cs="宋体"/>
          <w:szCs w:val="21"/>
        </w:rPr>
        <w:t xml:space="preserve">1.满足《中华人民共和国政府采购法》第二十二条规定；</w:t>
      </w:r>
      <w:r>
        <w:rPr>
          <w:rFonts w:hint="eastAsia" w:ascii="宋体" w:cs="宋体"/>
          <w:szCs w:val="21"/>
        </w:rPr>
      </w:r>
      <w:r/>
    </w:p>
    <w:p>
      <w:pPr>
        <w:pStyle w:val="1275"/>
        <w:ind w:firstLine="284"/>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275"/>
        <w:ind w:firstLine="284"/>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275"/>
        <w:ind w:firstLine="284"/>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2024或2025年度）经审计的财务报告复印件加盖公章；</w:t>
      </w:r>
      <w:r>
        <w:rPr>
          <w:rFonts w:hint="eastAsia" w:ascii="宋体" w:cs="宋体"/>
          <w:szCs w:val="21"/>
        </w:rPr>
      </w:r>
      <w:r/>
    </w:p>
    <w:p>
      <w:pPr>
        <w:pStyle w:val="1275"/>
        <w:ind w:firstLine="284"/>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275"/>
        <w:ind w:firstLine="284"/>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275"/>
        <w:ind w:firstLine="284"/>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275"/>
        <w:ind w:firstLine="284"/>
        <w:spacing w:line="480" w:lineRule="exact"/>
        <w:widowControl/>
        <w:rPr>
          <w:rFonts w:hint="eastAsia" w:ascii="宋体" w:cs="宋体"/>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cs="宋体"/>
        </w:rPr>
      </w:r>
      <w:r/>
    </w:p>
    <w:p>
      <w:pPr>
        <w:pStyle w:val="1275"/>
        <w:ind w:firstLine="420"/>
        <w:spacing w:line="480" w:lineRule="exact"/>
        <w:rPr>
          <w:rFonts w:hint="eastAsia" w:ascii="宋体" w:cs="宋体"/>
          <w:szCs w:val="21"/>
          <w:highlight w:val="none"/>
        </w:rPr>
      </w:pPr>
      <w:r>
        <w:rPr>
          <w:rFonts w:hint="eastAsia" w:ascii="宋体" w:cs="宋体"/>
          <w:szCs w:val="21"/>
        </w:rPr>
        <w:t xml:space="preserve">2.落实政府采购政</w:t>
      </w:r>
      <w:r>
        <w:rPr>
          <w:rFonts w:hint="eastAsia" w:ascii="宋体" w:cs="宋体"/>
          <w:szCs w:val="21"/>
          <w:highlight w:val="none"/>
        </w:rPr>
        <w:t xml:space="preserve">策需满足的资格要求：</w:t>
      </w:r>
      <w:r>
        <w:rPr>
          <w:szCs w:val="21"/>
          <w:highlight w:val="none"/>
          <w:u w:val="single"/>
        </w:rPr>
        <w:t xml:space="preserve">无</w:t>
      </w:r>
      <w:r>
        <w:rPr>
          <w:szCs w:val="21"/>
          <w:highlight w:val="none"/>
        </w:rPr>
        <w:t xml:space="preserve">（本项目不属于专门面向中小企业采购的项目）</w:t>
      </w:r>
      <w:r>
        <w:rPr>
          <w:rFonts w:hint="eastAsia" w:ascii="宋体" w:cs="宋体"/>
          <w:szCs w:val="21"/>
          <w:highlight w:val="none"/>
        </w:rPr>
      </w:r>
      <w:r/>
    </w:p>
    <w:p>
      <w:pPr>
        <w:pStyle w:val="1275"/>
        <w:ind w:firstLine="420"/>
        <w:spacing w:line="480" w:lineRule="exact"/>
        <w:rPr>
          <w:rFonts w:hint="eastAsia" w:ascii="宋体" w:cs="宋体"/>
          <w:szCs w:val="21"/>
          <w:highlight w:val="none"/>
        </w:rPr>
      </w:pPr>
      <w:r>
        <w:rPr>
          <w:rFonts w:hint="eastAsia" w:ascii="宋体" w:cs="宋体"/>
          <w:szCs w:val="21"/>
          <w:highlight w:val="none"/>
        </w:rPr>
        <w:t xml:space="preserve">3.本项目的特定资格要求：</w:t>
      </w:r>
      <w:r>
        <w:rPr>
          <w:rFonts w:hint="eastAsia" w:ascii="宋体" w:cs="宋体"/>
          <w:szCs w:val="21"/>
          <w:highlight w:val="none"/>
        </w:rPr>
      </w:r>
      <w:r/>
    </w:p>
    <w:p>
      <w:pPr>
        <w:pStyle w:val="1275"/>
        <w:ind w:firstLine="420"/>
        <w:spacing w:line="480" w:lineRule="exact"/>
        <w:rPr>
          <w:rFonts w:hint="eastAsia" w:ascii="宋体" w:cs="宋体"/>
          <w:szCs w:val="21"/>
          <w:highlight w:val="none"/>
        </w:rPr>
      </w:pPr>
      <w:r>
        <w:rPr>
          <w:rFonts w:hint="eastAsia" w:ascii="宋体" w:cs="宋体"/>
          <w:szCs w:val="21"/>
          <w:highlight w:val="none"/>
        </w:rPr>
        <w:t xml:space="preserve">（1）本次采购不接受进口产品投标（注：本文件所称进口产品是指通过中国海关报关验放进入中国境内且产自关境外的产品）；</w:t>
      </w:r>
      <w:r>
        <w:rPr>
          <w:rFonts w:hint="eastAsia" w:ascii="宋体" w:cs="宋体"/>
          <w:szCs w:val="21"/>
          <w:highlight w:val="none"/>
        </w:rPr>
      </w:r>
      <w:r/>
    </w:p>
    <w:p>
      <w:pPr>
        <w:pStyle w:val="1275"/>
        <w:ind w:firstLine="420"/>
        <w:spacing w:line="480" w:lineRule="exact"/>
        <w:rPr>
          <w:rFonts w:hint="eastAsia" w:ascii="宋体" w:cs="宋体"/>
          <w:szCs w:val="21"/>
        </w:rPr>
      </w:pPr>
      <w:r>
        <w:rPr>
          <w:rFonts w:hint="eastAsia" w:ascii="宋体" w:cs="宋体"/>
          <w:szCs w:val="21"/>
          <w:highlight w:val="none"/>
        </w:rPr>
        <w:t xml:space="preserve">（2）拒绝下述供应商参加本次采购</w:t>
      </w:r>
      <w:r>
        <w:rPr>
          <w:rFonts w:hint="eastAsia" w:ascii="宋体" w:cs="宋体"/>
          <w:szCs w:val="21"/>
        </w:rPr>
        <w:t xml:space="preserve">活动的情形：</w:t>
      </w:r>
      <w:r>
        <w:rPr>
          <w:rFonts w:hint="eastAsia" w:ascii="宋体" w:cs="宋体"/>
          <w:szCs w:val="21"/>
        </w:rPr>
      </w:r>
      <w:r/>
    </w:p>
    <w:p>
      <w:pPr>
        <w:pStyle w:val="1275"/>
        <w:ind w:firstLine="420"/>
        <w:spacing w:line="480" w:lineRule="exact"/>
        <w:rPr>
          <w:rFonts w:hint="eastAsia" w:ascii="宋体" w:cs="宋体"/>
          <w:szCs w:val="21"/>
        </w:rPr>
      </w:pPr>
      <w:r>
        <w:rPr>
          <w:rFonts w:hint="eastAsia" w:ascii="宋体" w:cs="宋体"/>
          <w:szCs w:val="21"/>
        </w:rPr>
        <w:t xml:space="preserve">1）供应商单位负责人为同一人或者存在直接控股、管理关系的不同供应商，不得参加同一合同项下的政府采购活动。</w:t>
      </w:r>
      <w:r>
        <w:rPr>
          <w:rFonts w:hint="eastAsia" w:ascii="宋体" w:cs="宋体"/>
          <w:szCs w:val="21"/>
        </w:rPr>
      </w:r>
      <w:r/>
    </w:p>
    <w:p>
      <w:pPr>
        <w:pStyle w:val="1275"/>
        <w:ind w:firstLine="420"/>
        <w:spacing w:line="480" w:lineRule="exact"/>
        <w:rPr>
          <w:rFonts w:hint="eastAsia" w:ascii="宋体" w:cs="宋体"/>
          <w:szCs w:val="21"/>
        </w:rPr>
      </w:pPr>
      <w:r>
        <w:rPr>
          <w:rFonts w:hint="eastAsia" w:ascii="宋体" w:cs="宋体"/>
          <w:szCs w:val="21"/>
        </w:rPr>
        <w:t xml:space="preserve">2）凡为采购项目提供整体设计、规范编制或者项目管理、监理、检测等服务的供应商，不得再参加本项目的采购活动。</w:t>
      </w:r>
      <w:r>
        <w:rPr>
          <w:rFonts w:hint="eastAsia" w:ascii="宋体" w:cs="宋体"/>
          <w:szCs w:val="21"/>
        </w:rPr>
      </w:r>
      <w:r/>
    </w:p>
    <w:p>
      <w:pPr>
        <w:pStyle w:val="1275"/>
        <w:ind w:firstLine="420"/>
        <w:spacing w:line="480" w:lineRule="exact"/>
        <w:rPr>
          <w:rFonts w:hint="eastAsia" w:ascii="宋体" w:hAnsi="宋体" w:cs="宋体"/>
          <w:szCs w:val="21"/>
        </w:rPr>
      </w:pPr>
      <w:r>
        <w:rPr>
          <w:rFonts w:hint="eastAsia" w:ascii="宋体" w:cs="宋体"/>
          <w:szCs w:val="21"/>
        </w:rPr>
        <w:t xml:space="preserve">3）拒绝列入失信被执行人、重大税收违法案件当事人名单、政府采购严重违法失信行为记录名单的供应商参与政府采购活动。采购代理机构在评标时通过“信用中国”网站、中国政府采购网等渠道查询供应商在提交投标文件截止时间前的信用记录并保存。联合体成员存在不良信用记录的，视同联合体存在不良信用记录。</w:t>
      </w:r>
      <w:r>
        <w:rPr>
          <w:rFonts w:hint="eastAsia" w:ascii="宋体" w:hAnsi="宋体" w:cs="宋体"/>
          <w:szCs w:val="21"/>
        </w:rPr>
      </w:r>
      <w:r/>
    </w:p>
    <w:p>
      <w:pPr>
        <w:pStyle w:val="1275"/>
        <w:ind w:left="0" w:firstLine="0"/>
        <w:spacing w:line="360" w:lineRule="auto"/>
        <w:widowControl/>
        <w:rPr>
          <w:rFonts w:hint="eastAsia" w:ascii="宋体" w:hAnsi="宋体" w:cs="宋体"/>
          <w:b w:val="0"/>
          <w:bCs/>
          <w:szCs w:val="21"/>
        </w:rPr>
        <w:outlineLvl w:val="1"/>
      </w:pPr>
      <w:r/>
      <w:bookmarkStart w:id="16" w:name="_Toc5100"/>
      <w:r>
        <w:rPr>
          <w:rFonts w:hint="eastAsia" w:ascii="宋体" w:hAnsi="宋体" w:cs="宋体"/>
          <w:b w:val="0"/>
          <w:bCs/>
          <w:szCs w:val="21"/>
        </w:rPr>
        <w:t xml:space="preserve">三、获取招标文件</w:t>
      </w:r>
      <w:bookmarkEnd w:id="12"/>
      <w:r/>
      <w:bookmarkEnd w:id="13"/>
      <w:r/>
      <w:bookmarkEnd w:id="14"/>
      <w:r/>
      <w:bookmarkEnd w:id="15"/>
      <w:r/>
      <w:bookmarkEnd w:id="16"/>
      <w:r>
        <w:rPr>
          <w:rFonts w:hint="eastAsia" w:ascii="宋体" w:hAnsi="宋体" w:cs="宋体"/>
          <w:b w:val="0"/>
          <w:bCs/>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时间：2026年</w:t>
      </w:r>
      <w:r>
        <w:rPr>
          <w:rFonts w:hint="eastAsia" w:ascii="宋体" w:hAnsi="宋体" w:cs="宋体"/>
          <w:szCs w:val="21"/>
          <w:lang w:val="en-US" w:eastAsia="zh-CN"/>
        </w:rPr>
        <w:t xml:space="preserve">3</w:t>
      </w:r>
      <w:r>
        <w:rPr>
          <w:rFonts w:hint="eastAsia" w:ascii="宋体" w:hAnsi="宋体" w:cs="宋体"/>
          <w:szCs w:val="21"/>
        </w:rPr>
        <w:t xml:space="preserve">月</w:t>
      </w:r>
      <w:r>
        <w:rPr>
          <w:rFonts w:hint="eastAsia" w:ascii="宋体" w:hAnsi="宋体" w:cs="宋体"/>
          <w:szCs w:val="21"/>
          <w:lang w:val="en-US" w:eastAsia="zh-CN"/>
        </w:rPr>
        <w:t xml:space="preserve">25</w:t>
      </w:r>
      <w:r>
        <w:rPr>
          <w:rFonts w:hint="eastAsia" w:ascii="宋体" w:hAnsi="宋体" w:cs="宋体"/>
          <w:szCs w:val="21"/>
        </w:rPr>
        <w:t xml:space="preserve">日起至2026年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1</w:t>
      </w:r>
      <w:r>
        <w:rPr>
          <w:rFonts w:hint="eastAsia" w:ascii="宋体" w:hAnsi="宋体" w:cs="宋体"/>
          <w:szCs w:val="21"/>
        </w:rPr>
        <w:t xml:space="preserve">日，每天上午09:00至11:30，下午14:00至17:30（北京时间，法定节假日除外），若潜在投标人未能在购买招标文件的截止时间之前向采购代理机构购买，则其投标将被拒绝。</w:t>
      </w:r>
      <w:r>
        <w:rPr>
          <w:rFonts w:hint="eastAsia" w:ascii="宋体" w:hAnsi="宋体" w:cs="宋体"/>
          <w:szCs w:val="21"/>
        </w:rPr>
      </w:r>
      <w:r/>
    </w:p>
    <w:p>
      <w:pPr>
        <w:pStyle w:val="1275"/>
        <w:ind w:firstLine="420"/>
        <w:spacing w:line="360" w:lineRule="auto"/>
        <w:rPr>
          <w:rFonts w:hint="eastAsia" w:ascii="宋体" w:hAnsi="宋体" w:cs="宋体"/>
          <w:szCs w:val="21"/>
          <w:u w:val="single"/>
        </w:rPr>
      </w:pPr>
      <w:r>
        <w:rPr>
          <w:rFonts w:hint="eastAsia" w:ascii="宋体" w:hAnsi="宋体" w:cs="宋体"/>
          <w:szCs w:val="21"/>
        </w:rPr>
        <w:t xml:space="preserve">地点：江苏苏美达仪器设备有限公司，南京市长江路198号14楼</w:t>
      </w:r>
      <w:r>
        <w:rPr>
          <w:rFonts w:hint="eastAsia" w:ascii="宋体" w:hAnsi="宋体" w:cs="宋体"/>
          <w:szCs w:val="21"/>
          <w:u w:val="single"/>
        </w:rPr>
      </w:r>
      <w:r/>
    </w:p>
    <w:p>
      <w:pPr>
        <w:pStyle w:val="1275"/>
        <w:ind w:firstLine="420"/>
        <w:spacing w:line="360" w:lineRule="auto"/>
        <w:rPr>
          <w:rFonts w:hint="eastAsia" w:ascii="宋体" w:hAnsi="宋体" w:cs="宋体"/>
          <w:szCs w:val="21"/>
          <w:u w:val="single"/>
        </w:rPr>
      </w:pPr>
      <w:r>
        <w:rPr>
          <w:rFonts w:hint="eastAsia" w:ascii="宋体" w:hAnsi="宋体" w:cs="宋体"/>
          <w:szCs w:val="21"/>
        </w:rPr>
        <w:t xml:space="preserve">方式：在线发售，具体要求详见其他补充事宜</w:t>
      </w:r>
      <w:r>
        <w:rPr>
          <w:rFonts w:hint="eastAsia" w:ascii="宋体" w:hAnsi="宋体" w:cs="宋体"/>
          <w:szCs w:val="21"/>
          <w:u w:val="single"/>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售价：500元人民币，售后不退</w:t>
      </w:r>
      <w:r>
        <w:rPr>
          <w:rFonts w:hint="eastAsia" w:ascii="宋体" w:hAnsi="宋体" w:cs="宋体"/>
          <w:szCs w:val="21"/>
        </w:rPr>
      </w:r>
      <w:r/>
    </w:p>
    <w:p>
      <w:pPr>
        <w:pStyle w:val="1277"/>
        <w:spacing w:before="20" w:after="20" w:line="360" w:lineRule="auto"/>
        <w:rPr>
          <w:rFonts w:hint="eastAsia" w:ascii="宋体" w:hAnsi="宋体" w:eastAsia="宋体" w:cs="宋体"/>
          <w:b w:val="0"/>
          <w:sz w:val="21"/>
          <w:szCs w:val="21"/>
        </w:rPr>
      </w:pPr>
      <w:r/>
      <w:bookmarkStart w:id="17" w:name="_Toc28359005"/>
      <w:r/>
      <w:bookmarkStart w:id="18" w:name="_Toc28359082"/>
      <w:r/>
      <w:bookmarkStart w:id="19" w:name="_Toc35393793"/>
      <w:r/>
      <w:bookmarkStart w:id="20" w:name="_Toc35393624"/>
      <w:r/>
      <w:bookmarkStart w:id="21" w:name="_Toc20070"/>
      <w:r>
        <w:rPr>
          <w:rFonts w:hint="eastAsia" w:ascii="宋体" w:hAnsi="宋体" w:eastAsia="宋体" w:cs="宋体"/>
          <w:b w:val="0"/>
          <w:sz w:val="21"/>
          <w:szCs w:val="21"/>
        </w:rPr>
        <w:t xml:space="preserve">四、提交投标文件</w:t>
      </w:r>
      <w:bookmarkEnd w:id="17"/>
      <w:r/>
      <w:bookmarkEnd w:id="18"/>
      <w:r>
        <w:rPr>
          <w:rFonts w:hint="eastAsia" w:ascii="宋体" w:hAnsi="宋体" w:eastAsia="宋体" w:cs="宋体"/>
          <w:b w:val="0"/>
          <w:sz w:val="21"/>
          <w:szCs w:val="21"/>
        </w:rPr>
        <w:t xml:space="preserve">截止时间、开标时间和地点</w:t>
      </w:r>
      <w:bookmarkEnd w:id="19"/>
      <w:r/>
      <w:bookmarkEnd w:id="20"/>
      <w:r/>
      <w:bookmarkEnd w:id="21"/>
      <w:r>
        <w:rPr>
          <w:rFonts w:hint="eastAsia" w:ascii="宋体" w:hAnsi="宋体" w:eastAsia="宋体" w:cs="宋体"/>
          <w:b w:val="0"/>
          <w:sz w:val="21"/>
          <w:szCs w:val="21"/>
        </w:rPr>
      </w:r>
      <w:r/>
    </w:p>
    <w:p>
      <w:pPr>
        <w:pStyle w:val="1275"/>
        <w:ind w:firstLine="420"/>
        <w:spacing w:line="360" w:lineRule="auto"/>
        <w:rPr>
          <w:rFonts w:hint="eastAsia" w:ascii="宋体" w:hAnsi="宋体" w:cs="宋体"/>
          <w:color w:val="000000"/>
          <w:szCs w:val="21"/>
        </w:rPr>
      </w:pPr>
      <w:r>
        <w:rPr>
          <w:rFonts w:hint="eastAsia" w:ascii="宋体" w:hAnsi="宋体" w:cs="宋体"/>
          <w:color w:val="000000"/>
          <w:szCs w:val="21"/>
        </w:rPr>
        <w:t xml:space="preserve">提交投标文件开始时间：2026年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日</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点00分（北京时间）</w:t>
      </w:r>
      <w:r>
        <w:rPr>
          <w:rFonts w:hint="eastAsia" w:ascii="宋体" w:hAnsi="宋体" w:cs="宋体"/>
          <w:color w:val="000000"/>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15</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点30分（北京时间）</w:t>
      </w:r>
      <w:r>
        <w:rPr>
          <w:rFonts w:hint="eastAsia" w:ascii="宋体" w:hAnsi="宋体" w:cs="宋体"/>
          <w:szCs w:val="21"/>
        </w:rPr>
      </w:r>
      <w:r/>
    </w:p>
    <w:p>
      <w:pPr>
        <w:pStyle w:val="12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地点：</w:t>
      </w:r>
      <w:r>
        <w:rPr>
          <w:rFonts w:hint="eastAsia" w:ascii="宋体" w:hAnsi="宋体" w:cs="宋体"/>
          <w:szCs w:val="21"/>
          <w:lang w:eastAsia="zh-CN"/>
        </w:rPr>
        <w:t xml:space="preserve">江苏省南京市长江路198号苏美达大厦辅楼302会议室</w:t>
      </w:r>
      <w:r>
        <w:rPr>
          <w:rFonts w:hint="eastAsia" w:ascii="宋体" w:hAnsi="宋体" w:eastAsia="宋体" w:cs="宋体"/>
          <w:szCs w:val="21"/>
          <w:lang w:eastAsia="zh-CN"/>
        </w:rPr>
      </w:r>
      <w:r/>
    </w:p>
    <w:p>
      <w:pPr>
        <w:pStyle w:val="1277"/>
        <w:spacing w:before="20" w:after="20" w:line="360" w:lineRule="auto"/>
        <w:rPr>
          <w:rFonts w:hint="eastAsia" w:ascii="宋体" w:hAnsi="宋体" w:eastAsia="宋体" w:cs="宋体"/>
          <w:b w:val="0"/>
          <w:sz w:val="21"/>
          <w:szCs w:val="21"/>
        </w:rPr>
      </w:pPr>
      <w:r/>
      <w:bookmarkStart w:id="22" w:name="_Toc35393625"/>
      <w:r/>
      <w:bookmarkStart w:id="23" w:name="_Toc28359084"/>
      <w:r/>
      <w:bookmarkStart w:id="24" w:name="_Toc28359007"/>
      <w:r/>
      <w:bookmarkStart w:id="25" w:name="_Toc35393794"/>
      <w:r/>
      <w:bookmarkStart w:id="26" w:name="_Toc24310"/>
      <w:r>
        <w:rPr>
          <w:rFonts w:hint="eastAsia" w:ascii="宋体" w:hAnsi="宋体" w:eastAsia="宋体" w:cs="宋体"/>
          <w:b w:val="0"/>
          <w:sz w:val="21"/>
          <w:szCs w:val="21"/>
        </w:rPr>
        <w:t xml:space="preserve">五、公告期限</w:t>
      </w:r>
      <w:bookmarkEnd w:id="22"/>
      <w:r/>
      <w:bookmarkEnd w:id="23"/>
      <w:r/>
      <w:bookmarkEnd w:id="24"/>
      <w:r/>
      <w:bookmarkEnd w:id="25"/>
      <w:r/>
      <w:bookmarkEnd w:id="26"/>
      <w:r>
        <w:rPr>
          <w:rFonts w:hint="eastAsia" w:ascii="宋体" w:hAnsi="宋体" w:eastAsia="宋体" w:cs="宋体"/>
          <w:b w:val="0"/>
          <w:sz w:val="21"/>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277"/>
        <w:spacing w:before="20" w:after="20" w:line="360" w:lineRule="auto"/>
        <w:rPr>
          <w:rFonts w:hint="eastAsia" w:ascii="宋体" w:hAnsi="宋体" w:eastAsia="宋体" w:cs="宋体"/>
          <w:b w:val="0"/>
          <w:sz w:val="21"/>
          <w:szCs w:val="21"/>
        </w:rPr>
      </w:pPr>
      <w:r/>
      <w:bookmarkStart w:id="27" w:name="_Toc35393795"/>
      <w:r/>
      <w:bookmarkStart w:id="28" w:name="_Toc35393626"/>
      <w:r/>
      <w:bookmarkStart w:id="29" w:name="_Toc12542"/>
      <w:r>
        <w:rPr>
          <w:rFonts w:hint="eastAsia" w:ascii="宋体" w:hAnsi="宋体" w:eastAsia="宋体" w:cs="宋体"/>
          <w:b w:val="0"/>
          <w:sz w:val="21"/>
          <w:szCs w:val="21"/>
        </w:rPr>
        <w:t xml:space="preserve">六、其他补充事宜</w:t>
      </w:r>
      <w:bookmarkEnd w:id="27"/>
      <w:r/>
      <w:bookmarkEnd w:id="28"/>
      <w:r/>
      <w:bookmarkEnd w:id="29"/>
      <w:r/>
      <w:bookmarkStart w:id="30" w:name="_Toc35393796"/>
      <w:r/>
      <w:bookmarkStart w:id="31" w:name="_Toc35393627"/>
      <w:r/>
      <w:bookmarkStart w:id="32" w:name="_Toc28359008"/>
      <w:r/>
      <w:bookmarkStart w:id="33" w:name="_Toc28359085"/>
      <w:r>
        <w:rPr>
          <w:rFonts w:hint="eastAsia" w:ascii="宋体" w:hAnsi="宋体" w:eastAsia="宋体" w:cs="宋体"/>
          <w:b w:val="0"/>
          <w:sz w:val="21"/>
          <w:szCs w:val="21"/>
        </w:rPr>
      </w:r>
      <w:r/>
    </w:p>
    <w:p>
      <w:pPr>
        <w:pStyle w:val="1337"/>
        <w:ind w:firstLine="210"/>
        <w:spacing w:line="480" w:lineRule="exact"/>
        <w:rPr>
          <w:rFonts w:hint="eastAsia" w:ascii="宋体" w:cs="宋体"/>
          <w:szCs w:val="21"/>
        </w:rPr>
      </w:pPr>
      <w:r>
        <w:rPr>
          <w:rFonts w:hint="eastAsia" w:ascii="宋体" w:cs="宋体"/>
          <w:szCs w:val="21"/>
        </w:rPr>
        <w:t xml:space="preserve">1、在线购买采购文件操作流程如下：</w:t>
      </w:r>
      <w:r>
        <w:rPr>
          <w:rFonts w:hint="eastAsia" w:ascii="宋体" w:cs="宋体"/>
          <w:szCs w:val="21"/>
        </w:rPr>
      </w:r>
      <w:r/>
    </w:p>
    <w:p>
      <w:pPr>
        <w:pStyle w:val="1337"/>
        <w:ind w:firstLine="210"/>
        <w:spacing w:line="480" w:lineRule="exact"/>
        <w:rPr>
          <w:rFonts w:hint="eastAsia" w:ascii="宋体" w:cs="宋体"/>
          <w:szCs w:val="21"/>
        </w:rPr>
      </w:pPr>
      <w:r>
        <w:rPr>
          <w:rFonts w:hint="eastAsia" w:ascii="宋体" w:cs="宋体"/>
          <w:szCs w:val="21"/>
        </w:rPr>
        <w:t xml:space="preserve">（1）登录“苏美达仪器招标电子采购平台”（网址：https://zb.sumecie.com/index.chtml）。</w:t>
      </w:r>
      <w:r>
        <w:rPr>
          <w:rFonts w:hint="eastAsia" w:ascii="宋体" w:cs="宋体"/>
          <w:szCs w:val="21"/>
        </w:rPr>
      </w:r>
      <w:r/>
    </w:p>
    <w:p>
      <w:pPr>
        <w:pStyle w:val="1337"/>
        <w:ind w:firstLine="210"/>
        <w:spacing w:line="480" w:lineRule="exact"/>
        <w:rPr>
          <w:rFonts w:hint="eastAsia" w:ascii="宋体" w:cs="宋体"/>
          <w:szCs w:val="21"/>
        </w:rPr>
      </w:pPr>
      <w:r>
        <w:rPr>
          <w:rFonts w:hint="eastAsia" w:ascii="宋体" w:cs="宋体"/>
          <w:szCs w:val="21"/>
        </w:rPr>
        <w:t xml:space="preserve">（2）【采购公告】→查找对应项目→采购文件领购申请→填写相关信息（购买单位、领购人信息及发票信息）→缴纳文件费用（扫微信二维码支付）→确认提交成功→获取采购文件。</w:t>
      </w:r>
      <w:r>
        <w:rPr>
          <w:rFonts w:hint="eastAsia" w:ascii="宋体" w:cs="宋体"/>
          <w:szCs w:val="21"/>
        </w:rPr>
      </w:r>
      <w:r/>
    </w:p>
    <w:p>
      <w:pPr>
        <w:pStyle w:val="1337"/>
        <w:ind w:firstLine="210"/>
        <w:spacing w:line="480" w:lineRule="exact"/>
        <w:rPr>
          <w:rFonts w:hint="eastAsia" w:ascii="宋体" w:cs="宋体"/>
          <w:szCs w:val="21"/>
        </w:rPr>
      </w:pPr>
      <w:r>
        <w:rPr>
          <w:rFonts w:hint="eastAsia" w:ascii="宋体" w:cs="宋体"/>
          <w:szCs w:val="21"/>
        </w:rPr>
        <w:t xml:space="preserve">注意事项：</w:t>
      </w:r>
      <w:r>
        <w:rPr>
          <w:rFonts w:hint="eastAsia" w:ascii="宋体" w:cs="宋体"/>
          <w:szCs w:val="21"/>
        </w:rPr>
      </w:r>
      <w:r/>
    </w:p>
    <w:p>
      <w:pPr>
        <w:pStyle w:val="1337"/>
        <w:ind w:firstLine="210"/>
        <w:spacing w:line="480" w:lineRule="exact"/>
        <w:rPr>
          <w:rFonts w:hint="eastAsia" w:ascii="宋体" w:cs="宋体"/>
          <w:szCs w:val="21"/>
        </w:rPr>
      </w:pPr>
      <w:r>
        <w:rPr>
          <w:rFonts w:hint="eastAsia" w:ascii="宋体" w:cs="宋体"/>
          <w:szCs w:val="21"/>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hint="eastAsia" w:ascii="宋体" w:cs="宋体"/>
          <w:szCs w:val="21"/>
        </w:rPr>
      </w:r>
      <w:r/>
    </w:p>
    <w:p>
      <w:pPr>
        <w:pStyle w:val="1275"/>
        <w:ind w:firstLine="420"/>
        <w:spacing w:line="480" w:lineRule="exact"/>
        <w:rPr>
          <w:rFonts w:hint="eastAsia" w:ascii="宋体"/>
          <w:bCs/>
          <w:color w:val="000000"/>
        </w:rPr>
      </w:pPr>
      <w:r>
        <w:rPr>
          <w:rFonts w:hint="eastAsia" w:ascii="宋体"/>
          <w:bCs/>
          <w:color w:val="000000"/>
        </w:rPr>
        <w:t xml:space="preserve">2、获取招标文件时间：2026年3月25日起至2026年4月1日，每天上午09:00至11:30，下午14:00至17:30（北京时间，法定节假日除外），若潜在投标人未能在购买招标文件的截止时间之前向采购代理机构购买，则其投标将被拒绝。</w:t>
      </w:r>
      <w:r>
        <w:rPr>
          <w:rFonts w:hint="eastAsia" w:ascii="宋体"/>
          <w:bCs/>
          <w:color w:val="000000"/>
        </w:rPr>
      </w:r>
      <w:r/>
    </w:p>
    <w:p>
      <w:pPr>
        <w:pStyle w:val="1275"/>
        <w:ind w:firstLine="420"/>
        <w:spacing w:line="480" w:lineRule="exact"/>
        <w:rPr>
          <w:rFonts w:hint="eastAsia" w:ascii="宋体"/>
          <w:bCs/>
          <w:color w:val="000000"/>
        </w:rPr>
      </w:pPr>
      <w:r>
        <w:rPr>
          <w:rFonts w:hint="eastAsia" w:ascii="宋体"/>
          <w:bCs/>
          <w:color w:val="000000"/>
        </w:rPr>
        <w:t xml:space="preserve">3、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bCs/>
        </w:rPr>
        <w:t xml:space="preserve">》</w:t>
      </w:r>
      <w:r>
        <w:rPr>
          <w:szCs w:val="21"/>
        </w:rPr>
        <w:t xml:space="preserve">《国务院办公厅关于在政府采购中实施本国产品标准及相关政策的通知》</w:t>
      </w:r>
      <w:r>
        <w:rPr>
          <w:rFonts w:hint="eastAsia" w:ascii="宋体"/>
          <w:bCs/>
        </w:rPr>
        <w:t xml:space="preserve">等政府采购文件。</w:t>
      </w:r>
      <w:r>
        <w:rPr>
          <w:rFonts w:hint="eastAsia" w:ascii="宋体"/>
          <w:bCs/>
          <w:color w:val="000000"/>
        </w:rPr>
      </w:r>
      <w:r/>
    </w:p>
    <w:p>
      <w:pPr>
        <w:pStyle w:val="1275"/>
        <w:ind w:firstLine="420"/>
        <w:spacing w:line="480" w:lineRule="exact"/>
        <w:rPr>
          <w:rFonts w:hint="eastAsia" w:ascii="宋体" w:hAnsi="宋体" w:cs="宋体"/>
          <w:bCs/>
          <w:color w:val="000000"/>
          <w:szCs w:val="21"/>
        </w:rPr>
      </w:pPr>
      <w:r>
        <w:rPr>
          <w:rFonts w:hint="eastAsia" w:ascii="宋体"/>
          <w:bCs/>
          <w:color w:val="000000"/>
        </w:rPr>
        <w:t xml:space="preserve">4、本项目编号为2640SUMEC/ZWGG2026</w:t>
      </w:r>
      <w:r>
        <w:rPr>
          <w:rFonts w:hint="eastAsia" w:ascii="宋体"/>
          <w:bCs/>
        </w:rPr>
        <w:t xml:space="preserve">（</w:t>
      </w:r>
      <w:r>
        <w:rPr>
          <w:rFonts w:hint="eastAsia" w:ascii="宋体" w:hAnsi="宋体" w:cs="宋体"/>
          <w:szCs w:val="21"/>
          <w:lang w:eastAsia="zh-CN"/>
        </w:rPr>
        <w:t xml:space="preserve">JSZC-320000-SMDY-G2026-0008</w:t>
      </w:r>
      <w:r>
        <w:rPr>
          <w:rFonts w:hint="eastAsia" w:ascii="宋体"/>
          <w:bCs/>
        </w:rPr>
        <w:t xml:space="preserve">）</w:t>
      </w:r>
      <w:r>
        <w:rPr>
          <w:rFonts w:hint="eastAsia" w:ascii="宋体"/>
          <w:bCs/>
          <w:color w:val="000000"/>
        </w:rPr>
        <w:t xml:space="preserve">。</w:t>
      </w:r>
      <w:r>
        <w:rPr>
          <w:rFonts w:hint="eastAsia" w:ascii="宋体" w:hAnsi="宋体" w:cs="宋体"/>
          <w:bCs/>
          <w:color w:val="000000"/>
          <w:szCs w:val="21"/>
        </w:rPr>
      </w:r>
      <w:r/>
    </w:p>
    <w:p>
      <w:pPr>
        <w:pStyle w:val="1277"/>
        <w:spacing w:before="20" w:after="20" w:line="360" w:lineRule="auto"/>
        <w:rPr>
          <w:rFonts w:hint="eastAsia" w:ascii="宋体" w:hAnsi="宋体" w:eastAsia="宋体" w:cs="宋体"/>
          <w:b w:val="0"/>
          <w:sz w:val="21"/>
          <w:szCs w:val="21"/>
        </w:rPr>
      </w:pPr>
      <w:r/>
      <w:bookmarkStart w:id="34" w:name="_Toc9389"/>
      <w:r>
        <w:rPr>
          <w:rFonts w:hint="eastAsia" w:ascii="宋体" w:hAnsi="宋体" w:eastAsia="宋体" w:cs="宋体"/>
          <w:b w:val="0"/>
          <w:sz w:val="21"/>
          <w:szCs w:val="21"/>
        </w:rPr>
        <w:t xml:space="preserve">七、对本次招标提出询问，请按以下方式联系</w:t>
      </w:r>
      <w:bookmarkEnd w:id="30"/>
      <w:r/>
      <w:bookmarkEnd w:id="31"/>
      <w:r/>
      <w:bookmarkEnd w:id="32"/>
      <w:r/>
      <w:bookmarkEnd w:id="33"/>
      <w:r/>
      <w:bookmarkEnd w:id="34"/>
      <w:r>
        <w:rPr>
          <w:rFonts w:hint="eastAsia" w:ascii="宋体" w:hAnsi="宋体" w:eastAsia="宋体" w:cs="宋体"/>
          <w:b w:val="0"/>
          <w:sz w:val="21"/>
          <w:szCs w:val="21"/>
        </w:rPr>
      </w:r>
      <w:r/>
    </w:p>
    <w:p>
      <w:pPr>
        <w:pStyle w:val="1275"/>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275"/>
        <w:ind w:firstLine="840"/>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275"/>
        <w:ind w:firstLine="840"/>
        <w:spacing w:line="360" w:lineRule="auto"/>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p>
      <w:pPr>
        <w:pStyle w:val="1275"/>
        <w:ind w:firstLine="840"/>
        <w:spacing w:line="360" w:lineRule="auto"/>
        <w:rPr>
          <w:rFonts w:hint="eastAsia" w:ascii="宋体" w:hAnsi="宋体" w:cs="宋体"/>
          <w:szCs w:val="21"/>
        </w:rPr>
      </w:pPr>
      <w:r>
        <w:rPr>
          <w:rFonts w:hint="eastAsia" w:ascii="宋体" w:hAnsi="宋体" w:cs="宋体"/>
          <w:szCs w:val="21"/>
        </w:rPr>
        <w:t xml:space="preserve">联系方式：</w:t>
      </w:r>
      <w:bookmarkStart w:id="35" w:name="_Toc28359009"/>
      <w:r/>
      <w:bookmarkStart w:id="36" w:name="_Toc28359086"/>
      <w:r>
        <w:rPr>
          <w:rFonts w:hint="eastAsia" w:ascii="宋体" w:cs="宋体"/>
          <w:szCs w:val="21"/>
        </w:rPr>
        <w:t xml:space="preserve">曹</w:t>
      </w:r>
      <w:r>
        <w:rPr>
          <w:rFonts w:hint="eastAsia"/>
        </w:rPr>
        <w:t xml:space="preserve">工 </w:t>
      </w:r>
      <w:r>
        <w:rPr>
          <w:rFonts w:hint="eastAsia" w:ascii="宋体" w:hAnsi="宋体" w:cs="宋体"/>
        </w:rPr>
        <w:t xml:space="preserve">025-86435533</w:t>
      </w:r>
      <w:r>
        <w:rPr>
          <w:rFonts w:hint="eastAsia" w:ascii="宋体" w:hAnsi="宋体" w:cs="宋体"/>
          <w:szCs w:val="21"/>
        </w:rPr>
      </w:r>
      <w:r/>
    </w:p>
    <w:p>
      <w:pPr>
        <w:pStyle w:val="1275"/>
        <w:ind w:firstLine="63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5"/>
      <w:r/>
      <w:bookmarkEnd w:id="36"/>
      <w:r>
        <w:rPr>
          <w:rFonts w:hint="eastAsia" w:ascii="宋体" w:hAnsi="宋体" w:cs="宋体"/>
          <w:szCs w:val="21"/>
        </w:rPr>
      </w:r>
      <w:r/>
    </w:p>
    <w:p>
      <w:pPr>
        <w:pStyle w:val="1275"/>
        <w:ind w:firstLine="840"/>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275"/>
        <w:ind w:firstLine="84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275"/>
        <w:ind w:firstLine="840"/>
        <w:spacing w:line="360" w:lineRule="auto"/>
        <w:rPr>
          <w:rFonts w:ascii="宋体" w:hAnsi="宋体" w:cs="宋体"/>
          <w:szCs w:val="21"/>
        </w:rPr>
      </w:pPr>
      <w:r>
        <w:rPr>
          <w:rFonts w:hint="eastAsia" w:ascii="宋体" w:hAnsi="宋体" w:cs="宋体"/>
          <w:szCs w:val="21"/>
        </w:rPr>
        <w:t xml:space="preserve">联系方式：</w:t>
      </w:r>
      <w:bookmarkStart w:id="37" w:name="_Toc28359010"/>
      <w:r/>
      <w:bookmarkStart w:id="38" w:name="_Toc28359087"/>
      <w:r>
        <w:rPr>
          <w:rFonts w:hint="eastAsia" w:ascii="宋体" w:hAnsi="宋体" w:cs="宋体"/>
          <w:szCs w:val="21"/>
        </w:rPr>
        <w:t xml:space="preserve">王嘉卉025-84532585 董骐025-84532590</w:t>
      </w:r>
      <w:r>
        <w:rPr>
          <w:rFonts w:ascii="宋体" w:hAnsi="宋体" w:cs="宋体"/>
          <w:szCs w:val="21"/>
        </w:rPr>
      </w:r>
      <w:r/>
    </w:p>
    <w:p>
      <w:pPr>
        <w:pStyle w:val="1275"/>
        <w:ind w:firstLine="630"/>
        <w:spacing w:line="360" w:lineRule="auto"/>
        <w:rPr>
          <w:rFonts w:hint="eastAsia" w:ascii="宋体" w:hAnsi="宋体" w:cs="宋体"/>
          <w:szCs w:val="21"/>
          <w:u w:val="single"/>
        </w:rPr>
      </w:pPr>
      <w:r>
        <w:rPr>
          <w:rFonts w:hint="eastAsia" w:ascii="宋体" w:hAnsi="宋体" w:cs="宋体"/>
          <w:szCs w:val="21"/>
        </w:rPr>
        <w:t xml:space="preserve">3.项目联系方式</w:t>
      </w:r>
      <w:bookmarkEnd w:id="37"/>
      <w:r/>
      <w:bookmarkEnd w:id="38"/>
      <w:r>
        <w:rPr>
          <w:rFonts w:hint="eastAsia" w:ascii="宋体" w:hAnsi="宋体" w:cs="宋体"/>
          <w:szCs w:val="21"/>
          <w:u w:val="single"/>
        </w:rPr>
      </w:r>
      <w:r/>
    </w:p>
    <w:p>
      <w:pPr>
        <w:pStyle w:val="1296"/>
        <w:ind w:firstLine="840"/>
        <w:spacing w:line="360" w:lineRule="auto"/>
        <w:rPr>
          <w:rFonts w:hint="eastAsia" w:hAnsi="宋体" w:cs="宋体"/>
          <w:szCs w:val="21"/>
        </w:rPr>
      </w:pPr>
      <w:r>
        <w:rPr>
          <w:rFonts w:hint="eastAsia" w:hAnsi="宋体" w:cs="宋体"/>
          <w:szCs w:val="21"/>
        </w:rPr>
        <w:t xml:space="preserve">项目联系人：王嘉卉、董骐</w:t>
      </w:r>
      <w:r>
        <w:rPr>
          <w:rFonts w:hint="eastAsia" w:hAnsi="宋体" w:cs="宋体"/>
          <w:szCs w:val="21"/>
        </w:rPr>
      </w:r>
      <w:r/>
    </w:p>
    <w:p>
      <w:pPr>
        <w:pStyle w:val="1275"/>
        <w:ind w:firstLine="840"/>
        <w:spacing w:line="360" w:lineRule="auto"/>
        <w:rPr>
          <w:rFonts w:hint="eastAsia" w:ascii="宋体" w:hAnsi="宋体" w:cs="宋体"/>
          <w:szCs w:val="21"/>
          <w:u w:val="single"/>
        </w:rPr>
      </w:pPr>
      <w:r>
        <w:rPr>
          <w:rFonts w:hint="eastAsia" w:ascii="宋体" w:hAnsi="宋体" w:cs="宋体"/>
          <w:szCs w:val="21"/>
        </w:rPr>
        <w:t xml:space="preserve">电话：025-84532585、84532590</w:t>
      </w:r>
      <w:r>
        <w:rPr>
          <w:rFonts w:hint="eastAsia" w:ascii="宋体" w:hAnsi="宋体" w:cs="宋体"/>
          <w:szCs w:val="21"/>
          <w:u w:val="single"/>
        </w:rPr>
      </w:r>
      <w:r/>
    </w:p>
    <w:p>
      <w:pPr>
        <w:pStyle w:val="1275"/>
        <w:jc w:val="center"/>
        <w:spacing w:line="360" w:lineRule="auto"/>
        <w:rPr>
          <w:rFonts w:ascii="Arial" w:hAnsi="Arial" w:eastAsia="黑体" w:cs="Arial"/>
          <w:b/>
          <w:sz w:val="28"/>
          <w:szCs w:val="28"/>
        </w:rPr>
        <w:outlineLvl w:val="0"/>
      </w:pPr>
      <w:r>
        <w:rPr>
          <w:rFonts w:ascii="Arial" w:hAnsi="Arial" w:cs="Arial"/>
          <w:color w:val="c00000"/>
          <w:szCs w:val="21"/>
        </w:rPr>
        <w:br w:type="page" w:clear="all"/>
      </w:r>
      <w:bookmarkStart w:id="39" w:name="_Toc28996"/>
      <w:r/>
      <w:bookmarkStart w:id="40" w:name="_Toc28028"/>
      <w:r>
        <w:rPr>
          <w:rFonts w:ascii="Arial" w:hAnsi="Arial" w:eastAsia="黑体" w:cs="Arial"/>
          <w:b/>
          <w:sz w:val="28"/>
          <w:szCs w:val="28"/>
        </w:rPr>
        <w:t xml:space="preserve">第二章 投标人须知</w:t>
      </w:r>
      <w:bookmarkEnd w:id="39"/>
      <w:r/>
      <w:bookmarkEnd w:id="40"/>
      <w:r>
        <w:rPr>
          <w:rFonts w:ascii="Arial" w:hAnsi="Arial" w:eastAsia="黑体" w:cs="Arial"/>
          <w:b/>
          <w:sz w:val="28"/>
          <w:szCs w:val="28"/>
        </w:rPr>
      </w:r>
      <w:r/>
    </w:p>
    <w:p>
      <w:pPr>
        <w:pStyle w:val="1275"/>
        <w:spacing w:line="440" w:lineRule="exact"/>
        <w:shd w:val="clear" w:color="auto" w:fill="ffffff"/>
        <w:widowControl/>
        <w:rPr>
          <w:rFonts w:ascii="Arial" w:hAnsi="Arial" w:cs="Arial"/>
          <w:b/>
          <w:bCs/>
          <w:sz w:val="24"/>
        </w:rPr>
      </w:pPr>
      <w:r>
        <w:rPr>
          <w:rFonts w:ascii="Arial" w:hAnsi="Arial" w:cs="Arial"/>
          <w:b/>
          <w:bCs/>
          <w:sz w:val="24"/>
        </w:rPr>
        <w:t xml:space="preserve">投标人须知前附表</w:t>
      </w:r>
      <w:r>
        <w:rPr>
          <w:rFonts w:ascii="Arial" w:hAnsi="Arial" w:cs="Arial"/>
          <w:b/>
          <w:bCs/>
          <w:sz w:val="24"/>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275"/>
              <w:jc w:val="center"/>
              <w:spacing w:line="360" w:lineRule="auto"/>
              <w:rPr>
                <w:rFonts w:hint="eastAsia" w:ascii="宋体" w:cs="宋体"/>
                <w:b/>
                <w:color w:val="000000"/>
                <w:szCs w:val="21"/>
              </w:rPr>
            </w:pPr>
            <w:r>
              <w:rPr>
                <w:rFonts w:hint="eastAsia" w:ascii="宋体" w:cs="宋体"/>
                <w:b/>
                <w:color w:val="000000"/>
                <w:szCs w:val="21"/>
              </w:rPr>
              <w:t xml:space="preserve">序号</w:t>
            </w:r>
            <w:r>
              <w:rPr>
                <w:rFonts w:hint="eastAsia" w:ascii="宋体" w:cs="宋体"/>
                <w:b/>
                <w:color w:val="000000"/>
                <w:szCs w:val="21"/>
              </w:rPr>
            </w:r>
            <w:r/>
          </w:p>
        </w:tc>
        <w:tc>
          <w:tcPr>
            <w:tcW w:w="8928" w:type="dxa"/>
            <w:vAlign w:val="center"/>
            <w:textDirection w:val="lrTb"/>
            <w:noWrap w:val="false"/>
          </w:tcPr>
          <w:p>
            <w:pPr>
              <w:pStyle w:val="1275"/>
              <w:jc w:val="center"/>
              <w:spacing w:line="360" w:lineRule="auto"/>
              <w:rPr>
                <w:rFonts w:hint="eastAsia" w:ascii="宋体" w:cs="宋体"/>
                <w:b/>
                <w:color w:val="000000"/>
                <w:szCs w:val="21"/>
              </w:rPr>
            </w:pPr>
            <w:r>
              <w:rPr>
                <w:rFonts w:hint="eastAsia" w:ascii="宋体" w:cs="宋体"/>
                <w:b/>
                <w:color w:val="000000"/>
                <w:szCs w:val="21"/>
              </w:rPr>
              <w:t xml:space="preserve">主要内容</w:t>
            </w:r>
            <w:r>
              <w:rPr>
                <w:rFonts w:hint="eastAsia" w:ascii="宋体" w:cs="宋体"/>
                <w:b/>
                <w:color w:val="000000"/>
                <w:szCs w:val="21"/>
              </w:rPr>
            </w:r>
            <w:r/>
          </w:p>
        </w:tc>
      </w:tr>
      <w:tr>
        <w:trPr>
          <w:trHeight w:val="240"/>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1</w:t>
            </w:r>
            <w:r>
              <w:rPr>
                <w:rFonts w:hint="eastAsia" w:ascii="宋体" w:cs="宋体"/>
                <w:bCs/>
                <w:color w:val="000000"/>
                <w:szCs w:val="21"/>
              </w:rPr>
            </w:r>
            <w:r/>
          </w:p>
        </w:tc>
        <w:tc>
          <w:tcPr>
            <w:tcW w:w="8928" w:type="dxa"/>
            <w:vAlign w:val="center"/>
            <w:textDirection w:val="lrTb"/>
            <w:noWrap w:val="false"/>
          </w:tcPr>
          <w:p>
            <w:pPr>
              <w:pStyle w:val="131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采购人</w:t>
            </w:r>
            <w:r>
              <w:rPr>
                <w:rFonts w:hint="eastAsia" w:ascii="宋体" w:hAnsi="宋体" w:eastAsia="宋体" w:cs="宋体"/>
                <w:color w:val="000000"/>
                <w:sz w:val="21"/>
                <w:szCs w:val="21"/>
              </w:rPr>
              <w:t xml:space="preserve">：江苏省计量科学研究院（江苏省能源计量数据中心）</w:t>
            </w:r>
            <w:r>
              <w:rPr>
                <w:rFonts w:hint="eastAsia" w:ascii="宋体" w:hAnsi="宋体" w:eastAsia="宋体" w:cs="宋体"/>
                <w:color w:val="000000"/>
                <w:sz w:val="21"/>
                <w:szCs w:val="21"/>
              </w:rPr>
            </w:r>
            <w:r/>
          </w:p>
          <w:p>
            <w:pPr>
              <w:pStyle w:val="1275"/>
              <w:spacing w:line="360" w:lineRule="auto"/>
              <w:rPr>
                <w:rFonts w:hint="eastAsia" w:ascii="Arial" w:hAnsi="Arial" w:cs="Arial"/>
                <w:szCs w:val="21"/>
              </w:rPr>
            </w:pPr>
            <w:r>
              <w:rPr>
                <w:rFonts w:ascii="Arial" w:hAnsi="Arial" w:cs="Arial"/>
                <w:szCs w:val="21"/>
              </w:rPr>
              <w:t xml:space="preserve">联系人：</w:t>
            </w:r>
            <w:r>
              <w:rPr>
                <w:rFonts w:hint="eastAsia" w:ascii="Arial" w:hAnsi="Arial" w:cs="Arial"/>
                <w:szCs w:val="21"/>
              </w:rPr>
              <w:t xml:space="preserve">曹工</w:t>
            </w:r>
            <w:r>
              <w:rPr>
                <w:rFonts w:hint="eastAsia" w:ascii="Arial" w:hAnsi="Arial" w:cs="Arial"/>
                <w:szCs w:val="21"/>
              </w:rPr>
            </w:r>
            <w:r/>
          </w:p>
          <w:p>
            <w:pPr>
              <w:pStyle w:val="1275"/>
              <w:spacing w:line="360" w:lineRule="auto"/>
              <w:rPr>
                <w:rFonts w:hint="eastAsia" w:ascii="Arial" w:hAnsi="Arial" w:cs="Arial"/>
                <w:szCs w:val="21"/>
              </w:rPr>
            </w:pPr>
            <w:r>
              <w:rPr>
                <w:rFonts w:ascii="Arial" w:hAnsi="Arial" w:cs="Arial"/>
                <w:szCs w:val="21"/>
              </w:rPr>
              <w:t xml:space="preserve">电话：</w:t>
            </w:r>
            <w:r>
              <w:rPr>
                <w:rFonts w:hint="eastAsia" w:ascii="宋体" w:hAnsi="Arial Unicode MS" w:cs="宋体"/>
                <w:szCs w:val="21"/>
              </w:rPr>
              <w:t xml:space="preserve">025-86435533</w:t>
            </w:r>
            <w:r>
              <w:rPr>
                <w:rFonts w:hint="eastAsia" w:ascii="Arial" w:hAnsi="Arial" w:cs="Arial"/>
                <w:szCs w:val="21"/>
              </w:rPr>
            </w:r>
            <w:r/>
          </w:p>
          <w:p>
            <w:pPr>
              <w:pStyle w:val="1275"/>
              <w:spacing w:line="360" w:lineRule="auto"/>
              <w:rPr>
                <w:rFonts w:hint="eastAsia" w:ascii="宋体" w:hAnsi="宋体" w:cs="宋体"/>
                <w:color w:val="000000"/>
                <w:szCs w:val="21"/>
              </w:rPr>
            </w:pPr>
            <w:r>
              <w:rPr>
                <w:rFonts w:hint="eastAsia" w:ascii="宋体" w:hAnsi="宋体" w:cs="宋体"/>
                <w:szCs w:val="21"/>
              </w:rPr>
              <w:t xml:space="preserve">地址：南京市栖霞区文澜路95号</w:t>
            </w:r>
            <w:r>
              <w:rPr>
                <w:rFonts w:hint="eastAsia" w:ascii="宋体" w:hAnsi="宋体" w:cs="宋体"/>
                <w:color w:val="000000"/>
                <w:szCs w:val="21"/>
              </w:rPr>
            </w:r>
            <w:r/>
          </w:p>
        </w:tc>
      </w:tr>
      <w:tr>
        <w:trPr>
          <w:trHeight w:val="240"/>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2</w:t>
            </w:r>
            <w:r>
              <w:rPr>
                <w:rFonts w:hint="eastAsia" w:ascii="宋体" w:cs="宋体"/>
                <w:bCs/>
                <w:color w:val="000000"/>
                <w:szCs w:val="21"/>
              </w:rPr>
            </w:r>
            <w:r/>
          </w:p>
        </w:tc>
        <w:tc>
          <w:tcPr>
            <w:tcW w:w="8928" w:type="dxa"/>
            <w:vAlign w:val="center"/>
            <w:textDirection w:val="lrTb"/>
            <w:noWrap w:val="false"/>
          </w:tcPr>
          <w:p>
            <w:pPr>
              <w:pStyle w:val="131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275"/>
              <w:spacing w:line="360" w:lineRule="auto"/>
              <w:shd w:val="clear" w:color="auto" w:fill="ffffff"/>
              <w:widowControl/>
              <w:rPr>
                <w:rFonts w:ascii="宋体" w:hAnsi="宋体" w:cs="宋体"/>
                <w:color w:val="000000"/>
                <w:szCs w:val="21"/>
              </w:rPr>
            </w:pPr>
            <w:r>
              <w:rPr>
                <w:rFonts w:hint="eastAsia" w:ascii="宋体" w:hAnsi="宋体" w:cs="宋体"/>
                <w:szCs w:val="21"/>
              </w:rPr>
              <w:t xml:space="preserve">业务咨询联系人：</w:t>
            </w:r>
            <w:r>
              <w:rPr>
                <w:rFonts w:hint="eastAsia" w:ascii="宋体" w:hAnsi="宋体" w:cs="宋体"/>
                <w:color w:val="000000"/>
                <w:szCs w:val="21"/>
              </w:rPr>
              <w:t xml:space="preserve">王嘉卉025-84532585、董骐025-84532590</w:t>
            </w:r>
            <w:r>
              <w:rPr>
                <w:rFonts w:ascii="宋体" w:hAnsi="宋体" w:cs="宋体"/>
                <w:color w:val="000000"/>
                <w:szCs w:val="21"/>
              </w:rPr>
            </w:r>
            <w:r/>
          </w:p>
          <w:p>
            <w:pPr>
              <w:pStyle w:val="131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90"/>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3</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项目名称：高频微波场强</w:t>
            </w:r>
            <w:r>
              <w:rPr>
                <w:rFonts w:hint="eastAsia" w:ascii="宋体" w:hAnsi="宋体" w:cs="宋体"/>
                <w:szCs w:val="21"/>
                <w:highlight w:val="none"/>
              </w:rPr>
              <w:t xml:space="preserve">标准装置等设备采购 </w:t>
            </w:r>
            <w:r>
              <w:rPr>
                <w:rFonts w:hint="eastAsia" w:ascii="宋体" w:hAnsi="宋体" w:cs="宋体"/>
                <w:szCs w:val="21"/>
                <w:highlight w:val="none"/>
              </w:rPr>
            </w:r>
            <w:r/>
          </w:p>
          <w:p>
            <w:pPr>
              <w:pStyle w:val="1275"/>
              <w:spacing w:line="360" w:lineRule="auto"/>
              <w:shd w:val="clear" w:color="auto" w:fill="ffffff"/>
              <w:widowControl/>
              <w:rPr>
                <w:rFonts w:hint="eastAsia" w:ascii="宋体" w:hAnsi="宋体" w:cs="宋体"/>
                <w:szCs w:val="21"/>
              </w:rPr>
            </w:pPr>
            <w:r>
              <w:rPr>
                <w:rFonts w:hint="eastAsia" w:ascii="宋体" w:hAnsi="宋体" w:cs="宋体"/>
                <w:szCs w:val="21"/>
                <w:highlight w:val="none"/>
              </w:rPr>
              <w:t xml:space="preserve">采购编号：2640SUMEC/ZWGG2026（</w:t>
            </w:r>
            <w:r>
              <w:rPr>
                <w:rFonts w:hint="eastAsia" w:ascii="宋体" w:hAnsi="宋体" w:cs="宋体"/>
                <w:szCs w:val="21"/>
                <w:highlight w:val="none"/>
                <w:lang w:eastAsia="zh-CN"/>
              </w:rPr>
              <w:t xml:space="preserve">JSZC-320000-SMDY-G2026-0008</w:t>
            </w:r>
            <w:r>
              <w:rPr>
                <w:rFonts w:hint="eastAsia" w:ascii="宋体" w:hAnsi="宋体" w:cs="宋体"/>
                <w:szCs w:val="21"/>
                <w:highlight w:val="none"/>
              </w:rPr>
              <w:t xml:space="preserve">）</w:t>
            </w:r>
            <w:r>
              <w:rPr>
                <w:rFonts w:hint="eastAsia" w:ascii="宋体" w:hAnsi="宋体" w:cs="宋体"/>
                <w:szCs w:val="21"/>
              </w:rPr>
            </w:r>
            <w:r/>
          </w:p>
        </w:tc>
      </w:tr>
      <w:tr>
        <w:trPr>
          <w:trHeight w:val="240"/>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4</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5</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12"/>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6</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w:t>
            </w:r>
            <w:r>
              <w:rPr>
                <w:rFonts w:hint="eastAsia" w:ascii="宋体" w:hAnsi="宋体" w:cs="宋体"/>
                <w:szCs w:val="21"/>
              </w:rPr>
              <w:t xml:space="preserve">本项目不收取投标保证金。</w:t>
            </w:r>
            <w:r>
              <w:rPr>
                <w:rFonts w:hint="eastAsia" w:ascii="宋体" w:hAnsi="宋体" w:cs="宋体"/>
                <w:color w:val="000000"/>
                <w:szCs w:val="21"/>
              </w:rPr>
            </w:r>
            <w:r/>
          </w:p>
        </w:tc>
      </w:tr>
      <w:tr>
        <w:trPr>
          <w:trHeight w:val="621"/>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7</w:t>
            </w:r>
            <w:r>
              <w:rPr>
                <w:rFonts w:hint="eastAsia" w:ascii="宋体" w:cs="宋体"/>
                <w:bCs/>
                <w:color w:val="000000"/>
                <w:szCs w:val="21"/>
              </w:rPr>
            </w:r>
            <w:r/>
          </w:p>
        </w:tc>
        <w:tc>
          <w:tcPr>
            <w:tcW w:w="8928" w:type="dxa"/>
            <w:vAlign w:val="center"/>
            <w:textDirection w:val="lrTb"/>
            <w:noWrap w:val="false"/>
          </w:tcPr>
          <w:p>
            <w:pPr>
              <w:pStyle w:val="1275"/>
              <w:jc w:val="left"/>
              <w:spacing w:line="360" w:lineRule="auto"/>
              <w:rPr>
                <w:rFonts w:hint="eastAsia" w:ascii="宋体" w:hAnsi="宋体" w:cs="宋体"/>
                <w:color w:val="000000"/>
                <w:szCs w:val="21"/>
              </w:rPr>
            </w:pPr>
            <w:r>
              <w:rPr>
                <w:rFonts w:hint="eastAsia" w:ascii="宋体" w:hAnsi="宋体" w:cs="宋体"/>
                <w:szCs w:val="21"/>
              </w:rPr>
              <w:t xml:space="preserve">投标文件份数：正本1份，副本5份，电子版1份。</w:t>
            </w:r>
            <w:r>
              <w:rPr>
                <w:rFonts w:hint="eastAsia" w:ascii="宋体" w:hAnsi="宋体" w:cs="宋体"/>
              </w:rPr>
              <w:t xml:space="preserve">（电子版须为</w:t>
            </w:r>
            <w:r>
              <w:rPr>
                <w:rFonts w:hint="eastAsia" w:ascii="宋体" w:hAnsi="宋体" w:cs="宋体"/>
                <w:szCs w:val="21"/>
              </w:rPr>
              <w:t xml:space="preserve">投标文件盖公章</w:t>
            </w:r>
            <w:r>
              <w:rPr>
                <w:rFonts w:hint="eastAsia" w:ascii="宋体" w:hAnsi="宋体" w:cs="宋体"/>
              </w:rPr>
              <w:t xml:space="preserve">（红章）</w:t>
            </w:r>
            <w:r>
              <w:rPr>
                <w:rFonts w:hint="eastAsia" w:ascii="宋体" w:hAnsi="宋体" w:cs="宋体"/>
                <w:szCs w:val="21"/>
              </w:rPr>
              <w:t xml:space="preserve">正本的PDF扫描件，</w:t>
            </w:r>
            <w:r>
              <w:rPr>
                <w:rFonts w:hint="eastAsia" w:ascii="宋体" w:hAnsi="宋体" w:cs="宋体"/>
              </w:rPr>
              <w:t xml:space="preserve">扫描件内容应与纸质文件完全一致。文件名建议修改为公司名+项目编号简写。如多分包投标，电子版可合并一个U盘提交。</w:t>
            </w:r>
            <w:r>
              <w:rPr>
                <w:rFonts w:hint="eastAsia" w:ascii="宋体" w:hAnsi="宋体" w:cs="宋体"/>
                <w:szCs w:val="21"/>
              </w:rPr>
              <w:t xml:space="preserve">电子文档用于存档，以U盘（请勿提交刻录光盘）形式递交，当纸质正本文件和电子文档不一致时，以纸质正本文件为准。U盘不予退还。）</w:t>
            </w:r>
            <w:r>
              <w:rPr>
                <w:rFonts w:hint="eastAsia" w:ascii="宋体" w:hAnsi="宋体" w:cs="宋体"/>
                <w:color w:val="000000"/>
                <w:szCs w:val="21"/>
              </w:rPr>
            </w:r>
            <w:r/>
          </w:p>
        </w:tc>
      </w:tr>
      <w:tr>
        <w:trPr>
          <w:trHeight w:val="559"/>
        </w:trPr>
        <w:tc>
          <w:tcPr>
            <w:tcW w:w="819" w:type="dxa"/>
            <w:vAlign w:val="center"/>
            <w:textDirection w:val="lrTb"/>
            <w:noWrap w:val="false"/>
          </w:tcPr>
          <w:p>
            <w:pPr>
              <w:pStyle w:val="1275"/>
              <w:jc w:val="center"/>
              <w:spacing w:line="360" w:lineRule="auto"/>
              <w:rPr>
                <w:rFonts w:hint="eastAsia" w:ascii="宋体" w:cs="宋体"/>
                <w:bCs/>
                <w:szCs w:val="21"/>
              </w:rPr>
            </w:pPr>
            <w:r>
              <w:rPr>
                <w:rFonts w:hint="eastAsia" w:ascii="宋体" w:cs="宋体"/>
                <w:bCs/>
                <w:szCs w:val="21"/>
              </w:rPr>
              <w:t xml:space="preserve">8</w:t>
            </w:r>
            <w:r>
              <w:rPr>
                <w:rFonts w:hint="eastAsia" w:ascii="宋体" w:cs="宋体"/>
                <w:bCs/>
                <w:szCs w:val="21"/>
              </w:rPr>
            </w:r>
            <w:r/>
          </w:p>
        </w:tc>
        <w:tc>
          <w:tcPr>
            <w:tcW w:w="8928" w:type="dxa"/>
            <w:vAlign w:val="center"/>
            <w:textDirection w:val="lrTb"/>
            <w:noWrap w:val="false"/>
          </w:tcPr>
          <w:p>
            <w:pPr>
              <w:pStyle w:val="131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投标文件开始接收时间：详见招标公告</w:t>
            </w:r>
            <w:r>
              <w:rPr>
                <w:rFonts w:hint="eastAsia" w:ascii="宋体" w:hAnsi="宋体" w:eastAsia="宋体" w:cs="宋体"/>
                <w:color w:val="000000"/>
                <w:sz w:val="21"/>
                <w:szCs w:val="21"/>
              </w:rPr>
            </w:r>
            <w:r/>
          </w:p>
          <w:p>
            <w:pPr>
              <w:pStyle w:val="1275"/>
              <w:ind w:right="-334"/>
              <w:spacing w:line="360" w:lineRule="auto"/>
              <w:rPr>
                <w:rFonts w:hint="eastAsia" w:ascii="宋体" w:hAnsi="宋体" w:cs="宋体"/>
                <w:szCs w:val="21"/>
              </w:rPr>
            </w:pPr>
            <w:r>
              <w:rPr>
                <w:rFonts w:hint="eastAsia" w:ascii="宋体" w:hAnsi="宋体" w:cs="宋体"/>
                <w:szCs w:val="21"/>
              </w:rPr>
              <w:t xml:space="preserve">投标文件接收截止时间（开标时间）：</w:t>
            </w:r>
            <w:r>
              <w:rPr>
                <w:rFonts w:hint="eastAsia" w:ascii="宋体" w:hAnsi="宋体" w:cs="宋体"/>
                <w:szCs w:val="21"/>
              </w:rPr>
              <w:t xml:space="preserve">详见招标公告</w:t>
            </w:r>
            <w:r>
              <w:rPr>
                <w:rFonts w:hint="eastAsia" w:ascii="宋体" w:hAnsi="宋体" w:cs="宋体"/>
                <w:szCs w:val="21"/>
              </w:rPr>
            </w:r>
            <w:r/>
          </w:p>
          <w:p>
            <w:pPr>
              <w:pStyle w:val="1275"/>
              <w:ind w:right="-334"/>
              <w:spacing w:line="360" w:lineRule="auto"/>
              <w:rPr>
                <w:rFonts w:hint="eastAsia" w:ascii="宋体" w:hAnsi="宋体" w:cs="宋体"/>
              </w:rPr>
            </w:pPr>
            <w:r>
              <w:rPr>
                <w:rFonts w:hint="eastAsia" w:ascii="宋体" w:hAnsi="宋体" w:cs="宋体"/>
                <w:szCs w:val="21"/>
              </w:rPr>
              <w:t xml:space="preserve">投标文件接收地点（开标地点）：详见招标公告</w:t>
            </w:r>
            <w:r>
              <w:rPr>
                <w:rFonts w:hint="eastAsia" w:ascii="宋体" w:hAnsi="宋体" w:cs="宋体"/>
              </w:rPr>
            </w:r>
            <w:r/>
          </w:p>
        </w:tc>
      </w:tr>
      <w:tr>
        <w:trPr>
          <w:trHeight w:val="469"/>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hAnsi="宋体" w:cs="宋体"/>
                <w:szCs w:val="21"/>
                <w:lang w:bidi="ar"/>
              </w:rPr>
              <w:t xml:space="preserve">9</w:t>
            </w:r>
            <w:r>
              <w:rPr>
                <w:rFonts w:hint="eastAsia" w:ascii="宋体" w:cs="宋体"/>
                <w:bCs/>
                <w:color w:val="000000"/>
                <w:szCs w:val="21"/>
              </w:rPr>
            </w:r>
            <w:r/>
          </w:p>
        </w:tc>
        <w:tc>
          <w:tcPr>
            <w:tcW w:w="8928"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lang w:bidi="ar"/>
              </w:rPr>
              <w:t xml:space="preserve">投标报价：所有投标响应均以人民币报价。</w:t>
            </w:r>
            <w:r>
              <w:rPr>
                <w:rFonts w:hint="eastAsia" w:ascii="宋体" w:hAnsi="宋体" w:cs="宋体"/>
                <w:szCs w:val="21"/>
              </w:rPr>
            </w:r>
            <w:r/>
          </w:p>
          <w:p>
            <w:pPr>
              <w:pStyle w:val="1275"/>
              <w:spacing w:line="360" w:lineRule="auto"/>
              <w:rPr>
                <w:rFonts w:hint="eastAsia" w:ascii="宋体" w:hAnsi="宋体" w:cs="宋体"/>
                <w:color w:val="ff0000"/>
                <w:szCs w:val="21"/>
              </w:rPr>
            </w:pPr>
            <w:r>
              <w:rPr>
                <w:rFonts w:hint="eastAsia" w:ascii="宋体" w:hAnsi="宋体" w:cs="宋体"/>
                <w:szCs w:val="21"/>
                <w:lang w:bidi="ar"/>
              </w:rPr>
              <w:t xml:space="preserve">供应商的投标响应报价应遵守“中华人民共和国价格法”。该报价为到采购人现场的全部费用，含相关税费，运输费，保险费，安装费及相关服务费等一切可能发生的费用。</w:t>
            </w:r>
            <w:r>
              <w:rPr>
                <w:rFonts w:hint="eastAsia" w:ascii="宋体" w:hAnsi="宋体" w:cs="宋体"/>
                <w:color w:val="ff0000"/>
                <w:szCs w:val="21"/>
              </w:rPr>
            </w:r>
            <w:r/>
          </w:p>
        </w:tc>
      </w:tr>
      <w:tr>
        <w:trPr>
          <w:trHeight w:val="505"/>
        </w:trPr>
        <w:tc>
          <w:tcPr>
            <w:tcW w:w="819" w:type="dxa"/>
            <w:vAlign w:val="center"/>
            <w:textDirection w:val="lrTb"/>
            <w:noWrap w:val="false"/>
          </w:tcPr>
          <w:p>
            <w:pPr>
              <w:pStyle w:val="1275"/>
              <w:jc w:val="center"/>
              <w:spacing w:line="360" w:lineRule="auto"/>
              <w:rPr>
                <w:rFonts w:hint="eastAsia" w:ascii="宋体" w:cs="宋体"/>
                <w:bCs/>
                <w:color w:val="000000"/>
                <w:szCs w:val="21"/>
              </w:rPr>
            </w:pPr>
            <w:r>
              <w:rPr>
                <w:rFonts w:hint="eastAsia" w:ascii="宋体" w:cs="宋体"/>
                <w:bCs/>
                <w:color w:val="000000"/>
                <w:szCs w:val="21"/>
              </w:rPr>
              <w:t xml:space="preserve">10</w:t>
            </w:r>
            <w:r>
              <w:rPr>
                <w:rFonts w:hint="eastAsia" w:ascii="宋体" w:cs="宋体"/>
                <w:bCs/>
                <w:color w:val="000000"/>
                <w:szCs w:val="21"/>
              </w:rPr>
            </w:r>
            <w:r/>
          </w:p>
        </w:tc>
        <w:tc>
          <w:tcPr>
            <w:tcW w:w="8928" w:type="dxa"/>
            <w:vAlign w:val="center"/>
            <w:textDirection w:val="lrTb"/>
            <w:noWrap w:val="false"/>
          </w:tcPr>
          <w:p>
            <w:pPr>
              <w:pStyle w:val="1275"/>
              <w:ind w:firstLine="15"/>
              <w:spacing w:line="360" w:lineRule="auto"/>
              <w:rPr>
                <w:rFonts w:hint="eastAsia" w:ascii="宋体" w:hAnsi="宋体" w:cs="宋体"/>
                <w:color w:val="000000"/>
                <w:szCs w:val="21"/>
              </w:rPr>
            </w:pPr>
            <w:r>
              <w:rPr>
                <w:rFonts w:hint="eastAsia" w:ascii="宋体" w:hAnsi="宋体" w:cs="宋体"/>
                <w:color w:val="000000"/>
                <w:szCs w:val="21"/>
              </w:rPr>
              <w:t xml:space="preserve">现场勘查要求：</w:t>
            </w:r>
            <w:r>
              <w:rPr>
                <w:rFonts w:hint="eastAsia" w:ascii="宋体" w:hAnsi="宋体" w:cs="宋体"/>
                <w:color w:val="000000"/>
                <w:szCs w:val="21"/>
              </w:rPr>
            </w:r>
            <w:r/>
          </w:p>
          <w:p>
            <w:pPr>
              <w:pStyle w:val="1275"/>
              <w:spacing w:line="360" w:lineRule="auto"/>
              <w:rPr>
                <w:rFonts w:hint="eastAsia" w:ascii="宋体" w:hAnsi="宋体" w:cs="宋体"/>
                <w:color w:val="000000"/>
                <w:szCs w:val="21"/>
              </w:rPr>
            </w:pPr>
            <w:r>
              <w:rPr>
                <w:rFonts w:hint="eastAsia" w:ascii="宋体" w:hAnsi="宋体" w:cs="宋体"/>
              </w:rPr>
              <w:t xml:space="preserve">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cs="宋体"/>
                <w:color w:val="000000"/>
                <w:szCs w:val="21"/>
              </w:rPr>
            </w:r>
            <w:r/>
          </w:p>
        </w:tc>
      </w:tr>
      <w:tr>
        <w:trPr>
          <w:trHeight w:val="579"/>
        </w:trPr>
        <w:tc>
          <w:tcPr>
            <w:tcW w:w="819" w:type="dxa"/>
            <w:vAlign w:val="center"/>
            <w:textDirection w:val="lrTb"/>
            <w:noWrap w:val="false"/>
          </w:tcPr>
          <w:p>
            <w:pPr>
              <w:pStyle w:val="1275"/>
              <w:jc w:val="center"/>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11</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信用信息：</w:t>
            </w:r>
            <w:r>
              <w:rPr>
                <w:rFonts w:hint="eastAsia" w:ascii="宋体" w:hAnsi="宋体" w:cs="宋体"/>
                <w:color w:val="000000"/>
                <w:szCs w:val="21"/>
              </w:rPr>
            </w:r>
            <w:r/>
          </w:p>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“信用中国”网站、中国政府采购网等</w:t>
            </w:r>
            <w:r>
              <w:rPr>
                <w:rFonts w:hint="eastAsia" w:ascii="宋体" w:hAnsi="宋体" w:cs="宋体"/>
                <w:color w:val="000000"/>
                <w:szCs w:val="21"/>
              </w:rPr>
              <w:t xml:space="preserve">。</w:t>
            </w:r>
            <w:r>
              <w:rPr>
                <w:rFonts w:hint="eastAsia" w:ascii="宋体" w:hAnsi="宋体" w:cs="宋体"/>
                <w:color w:val="000000"/>
                <w:szCs w:val="21"/>
              </w:rPr>
            </w:r>
            <w:r/>
          </w:p>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rPr>
              <w:t xml:space="preserve">提交投标文件截止时间前</w:t>
            </w:r>
            <w:r>
              <w:rPr>
                <w:rFonts w:hint="eastAsia" w:ascii="宋体" w:hAnsi="宋体" w:cs="宋体"/>
                <w:color w:val="000000"/>
                <w:szCs w:val="21"/>
              </w:rPr>
              <w:t xml:space="preserve">。</w:t>
            </w:r>
            <w:r>
              <w:rPr>
                <w:rFonts w:hint="eastAsia" w:ascii="宋体" w:hAnsi="宋体" w:cs="宋体"/>
                <w:color w:val="000000"/>
                <w:szCs w:val="21"/>
              </w:rPr>
            </w:r>
            <w:r/>
          </w:p>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hint="eastAsia" w:ascii="宋体" w:hAnsi="宋体" w:cs="宋体"/>
                <w:color w:val="000000"/>
                <w:szCs w:val="21"/>
              </w:rPr>
            </w:r>
            <w:r/>
          </w:p>
        </w:tc>
      </w:tr>
      <w:tr>
        <w:trPr>
          <w:trHeight w:val="2310"/>
        </w:trPr>
        <w:tc>
          <w:tcPr>
            <w:tcW w:w="819" w:type="dxa"/>
            <w:vAlign w:val="center"/>
            <w:textDirection w:val="lrTb"/>
            <w:noWrap w:val="false"/>
          </w:tcPr>
          <w:p>
            <w:pPr>
              <w:pStyle w:val="1275"/>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8928" w:type="dxa"/>
            <w:vAlign w:val="center"/>
            <w:textDirection w:val="lrTb"/>
            <w:noWrap w:val="false"/>
          </w:tcPr>
          <w:p>
            <w:pPr>
              <w:pStyle w:val="1275"/>
              <w:jc w:val="left"/>
              <w:spacing w:line="440" w:lineRule="exact"/>
              <w:rPr>
                <w:rFonts w:hint="eastAsia" w:ascii="宋体" w:hAnsi="宋体" w:cs="宋体"/>
                <w:szCs w:val="21"/>
                <w:highlight w:val="none"/>
              </w:rPr>
            </w:pPr>
            <w:r>
              <w:rPr>
                <w:rFonts w:hint="eastAsia" w:ascii="宋体" w:hAnsi="宋体" w:cs="宋体"/>
              </w:rPr>
              <w:t xml:space="preserve">核心产品</w:t>
            </w:r>
            <w:r>
              <w:rPr>
                <w:rFonts w:hint="eastAsia" w:ascii="宋体" w:hAnsi="宋体" w:cs="宋体"/>
                <w:highlight w:val="none"/>
              </w:rPr>
              <w:t xml:space="preserve">：</w:t>
            </w:r>
            <w:r>
              <w:rPr>
                <w:rFonts w:hint="eastAsia" w:ascii="宋体" w:hAnsi="宋体" w:cs="宋体"/>
                <w:b/>
                <w:bCs/>
                <w:color w:val="ff0000"/>
                <w:highlight w:val="none"/>
              </w:rPr>
              <w:t xml:space="preserve">高频微波场强标准装置</w:t>
            </w:r>
            <w:r>
              <w:rPr>
                <w:rFonts w:hint="eastAsia" w:ascii="宋体" w:hAnsi="宋体" w:cs="宋体"/>
                <w:szCs w:val="21"/>
                <w:highlight w:val="none"/>
              </w:rPr>
            </w:r>
            <w:r/>
          </w:p>
          <w:p>
            <w:pPr>
              <w:pStyle w:val="1275"/>
              <w:spacing w:line="440" w:lineRule="exact"/>
              <w:shd w:val="clear" w:color="auto" w:fill="ffffff"/>
              <w:widowControl/>
              <w:rPr>
                <w:rFonts w:hint="eastAsia" w:ascii="宋体" w:hAnsi="宋体" w:cs="宋体"/>
                <w:color w:val="000000"/>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szCs w:val="21"/>
              </w:rPr>
              <w:t xml:space="preserve">取技术分最高者；均相同时，由</w:t>
            </w:r>
            <w:r>
              <w:rPr>
                <w:rFonts w:hint="eastAsia" w:ascii="宋体" w:hAnsi="宋体" w:cs="宋体"/>
                <w:szCs w:val="21"/>
              </w:rPr>
              <w:t xml:space="preserve">评标委员会</w:t>
            </w:r>
            <w:r>
              <w:rPr>
                <w:rFonts w:hint="eastAsia" w:ascii="宋体" w:hAnsi="宋体" w:cs="宋体"/>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color w:val="000000"/>
                <w:szCs w:val="21"/>
              </w:rPr>
            </w:r>
            <w:r/>
          </w:p>
        </w:tc>
      </w:tr>
      <w:tr>
        <w:trPr>
          <w:trHeight w:val="595"/>
        </w:trPr>
        <w:tc>
          <w:tcPr>
            <w:tcW w:w="819" w:type="dxa"/>
            <w:vAlign w:val="center"/>
            <w:textDirection w:val="lrTb"/>
            <w:noWrap w:val="false"/>
          </w:tcPr>
          <w:p>
            <w:pPr>
              <w:pStyle w:val="1275"/>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8928" w:type="dxa"/>
            <w:vAlign w:val="center"/>
            <w:textDirection w:val="lrTb"/>
            <w:noWrap w:val="false"/>
          </w:tcPr>
          <w:p>
            <w:pPr>
              <w:pStyle w:val="1275"/>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采购标的对应中小企业划分标准所属行业：</w:t>
            </w:r>
            <w:r>
              <w:rPr>
                <w:rFonts w:hint="eastAsia" w:ascii="宋体" w:hAnsi="宋体" w:cs="宋体"/>
              </w:rPr>
              <w:t xml:space="preserve">工业（制造业）</w:t>
            </w:r>
            <w:r>
              <w:rPr>
                <w:rFonts w:hint="eastAsia" w:ascii="宋体" w:hAnsi="宋体" w:cs="宋体"/>
                <w:color w:val="000000"/>
                <w:szCs w:val="21"/>
              </w:rPr>
            </w:r>
            <w:r/>
          </w:p>
        </w:tc>
      </w:tr>
      <w:tr>
        <w:trPr>
          <w:trHeight w:val="355"/>
        </w:trPr>
        <w:tc>
          <w:tcPr>
            <w:tcW w:w="819" w:type="dxa"/>
            <w:vAlign w:val="center"/>
            <w:textDirection w:val="lrTb"/>
            <w:noWrap w:val="false"/>
          </w:tcPr>
          <w:p>
            <w:pPr>
              <w:pStyle w:val="1275"/>
              <w:jc w:val="center"/>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14</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szCs w:val="21"/>
              </w:rPr>
            </w:r>
            <w:r/>
          </w:p>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收款信息：</w:t>
            </w:r>
            <w:r>
              <w:rPr>
                <w:rFonts w:hint="eastAsia" w:ascii="宋体" w:hAnsi="宋体" w:cs="宋体"/>
                <w:szCs w:val="21"/>
              </w:rPr>
            </w:r>
            <w:r/>
          </w:p>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275"/>
              <w:spacing w:line="360" w:lineRule="auto"/>
              <w:shd w:val="clear" w:color="auto" w:fill="ffffff"/>
              <w:widowControl/>
              <w:rPr>
                <w:rFonts w:hint="eastAsia" w:ascii="宋体" w:hAnsi="宋体" w:cs="宋体"/>
                <w:szCs w:val="21"/>
              </w:rPr>
            </w:pPr>
            <w:r>
              <w:rPr>
                <w:rFonts w:hint="eastAsia" w:ascii="宋体" w:hAnsi="宋体" w:cs="宋体"/>
                <w:szCs w:val="21"/>
              </w:rPr>
              <w:t xml:space="preserve">开户银行：农行南京广州路支行</w:t>
            </w:r>
            <w:r>
              <w:rPr>
                <w:rFonts w:hint="eastAsia" w:ascii="宋体" w:hAnsi="宋体" w:cs="宋体"/>
                <w:szCs w:val="21"/>
              </w:rPr>
            </w:r>
            <w:r/>
          </w:p>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账户：10100301040003106</w:t>
            </w:r>
            <w:r>
              <w:rPr>
                <w:rFonts w:hint="eastAsia" w:ascii="宋体" w:hAnsi="宋体" w:cs="宋体"/>
                <w:color w:val="000000"/>
                <w:szCs w:val="21"/>
              </w:rPr>
            </w:r>
            <w:r/>
          </w:p>
        </w:tc>
      </w:tr>
      <w:tr>
        <w:trPr>
          <w:trHeight w:val="543"/>
        </w:trPr>
        <w:tc>
          <w:tcPr>
            <w:tcW w:w="819" w:type="dxa"/>
            <w:vAlign w:val="center"/>
            <w:textDirection w:val="lrTb"/>
            <w:noWrap w:val="false"/>
          </w:tcPr>
          <w:p>
            <w:pPr>
              <w:pStyle w:val="1275"/>
              <w:jc w:val="center"/>
              <w:spacing w:line="360" w:lineRule="auto"/>
              <w:shd w:val="clear" w:color="auto" w:fill="ffffff"/>
              <w:widowControl/>
              <w:rPr>
                <w:rFonts w:hint="eastAsia" w:ascii="宋体" w:cs="宋体"/>
                <w:bCs/>
                <w:color w:val="000000"/>
                <w:szCs w:val="21"/>
              </w:rPr>
            </w:pPr>
            <w:r/>
            <w:bookmarkStart w:id="41" w:name="_Toc8580"/>
            <w:r/>
            <w:bookmarkStart w:id="42" w:name="_Toc4722"/>
            <w:r>
              <w:rPr>
                <w:rFonts w:hint="eastAsia" w:ascii="宋体" w:cs="宋体"/>
                <w:bCs/>
                <w:color w:val="000000"/>
                <w:szCs w:val="21"/>
              </w:rPr>
              <w:t xml:space="preserve">15</w:t>
            </w:r>
            <w:r>
              <w:rPr>
                <w:rFonts w:hint="eastAsia" w:ascii="宋体" w:cs="宋体"/>
                <w:bCs/>
                <w:color w:val="000000"/>
                <w:szCs w:val="21"/>
              </w:rPr>
            </w:r>
            <w:r/>
          </w:p>
        </w:tc>
        <w:tc>
          <w:tcPr>
            <w:tcW w:w="8928" w:type="dxa"/>
            <w:vAlign w:val="center"/>
            <w:textDirection w:val="lrTb"/>
            <w:noWrap w:val="false"/>
          </w:tcPr>
          <w:p>
            <w:pPr>
              <w:pStyle w:val="1275"/>
              <w:keepLines/>
              <w:spacing w:line="440" w:lineRule="exact"/>
              <w:rPr>
                <w:rFonts w:hint="eastAsia" w:ascii="宋体" w:hAnsi="宋体" w:cs="宋体"/>
                <w:szCs w:val="21"/>
              </w:rPr>
            </w:pPr>
            <w:r>
              <w:rPr>
                <w:rFonts w:hint="eastAsia" w:ascii="宋体" w:hAnsi="宋体" w:cs="宋体"/>
                <w:szCs w:val="21"/>
              </w:rPr>
              <w:t xml:space="preserve">1、供应商对政府采购活动事项有疑问的，可以提出询问，联系方式详见第一章技术咨询联系人。</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①供应商的姓名或者名称、地址、邮编、联系人及联系电话；</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②质疑项目的名称、编号；</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③具体、明确的质疑事项和与质疑事项相关的请求；</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④事实依据；</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⑤必要的法律依据；</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⑥提出质疑的日期；</w:t>
            </w:r>
            <w:r>
              <w:rPr>
                <w:rFonts w:hint="eastAsia" w:ascii="宋体" w:hAnsi="宋体" w:cs="宋体"/>
                <w:szCs w:val="21"/>
              </w:rPr>
            </w:r>
            <w:r/>
          </w:p>
          <w:p>
            <w:pPr>
              <w:pStyle w:val="1275"/>
              <w:ind w:firstLine="210"/>
              <w:keepLines/>
              <w:spacing w:line="440" w:lineRule="exact"/>
              <w:rPr>
                <w:rFonts w:hint="eastAsia" w:ascii="宋体" w:hAnsi="宋体" w:cs="宋体"/>
                <w:szCs w:val="21"/>
              </w:rPr>
            </w:pPr>
            <w:r>
              <w:rPr>
                <w:rFonts w:hint="eastAsia" w:ascii="宋体" w:hAnsi="宋体" w:cs="宋体"/>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szCs w:val="21"/>
              </w:rPr>
            </w:r>
            <w:r/>
          </w:p>
          <w:p>
            <w:pPr>
              <w:pStyle w:val="1275"/>
              <w:keepLines/>
              <w:spacing w:line="440" w:lineRule="exact"/>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为中标或者成交结果公告期限届满之日。</w:t>
            </w:r>
            <w:r>
              <w:rPr>
                <w:rFonts w:hint="eastAsia" w:ascii="宋体" w:hAnsi="宋体" w:cs="宋体"/>
                <w:color w:val="000000"/>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（7）本项目质疑函的联系部门、联系电话和通讯地址如下：</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联系部门：江苏苏美达仪器设备有限公司招标中心 黄经理</w:t>
            </w:r>
            <w:r>
              <w:rPr>
                <w:rFonts w:hint="eastAsia" w:ascii="宋体" w:hAnsi="宋体" w:cs="宋体"/>
                <w:szCs w:val="21"/>
              </w:rPr>
            </w:r>
            <w:r/>
          </w:p>
          <w:p>
            <w:pPr>
              <w:pStyle w:val="1275"/>
              <w:keepLines/>
              <w:spacing w:line="440" w:lineRule="exact"/>
              <w:rPr>
                <w:rFonts w:hint="eastAsia" w:ascii="宋体" w:hAnsi="宋体" w:cs="宋体"/>
                <w:szCs w:val="21"/>
              </w:rPr>
            </w:pPr>
            <w:r>
              <w:rPr>
                <w:rFonts w:hint="eastAsia" w:ascii="宋体" w:hAnsi="宋体" w:cs="宋体"/>
                <w:szCs w:val="21"/>
              </w:rPr>
              <w:t xml:space="preserve">联系电话：025-84531274</w:t>
            </w:r>
            <w:r>
              <w:rPr>
                <w:rFonts w:hint="eastAsia" w:ascii="宋体" w:hAnsi="宋体" w:cs="宋体"/>
                <w:szCs w:val="21"/>
              </w:rPr>
            </w:r>
            <w:r/>
          </w:p>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通讯地址：江苏省南京市长江路198号苏美达大厦14F</w:t>
            </w:r>
            <w:r>
              <w:rPr>
                <w:rFonts w:hint="eastAsia" w:ascii="宋体" w:hAnsi="宋体" w:cs="宋体"/>
                <w:color w:val="000000"/>
                <w:szCs w:val="21"/>
              </w:rPr>
            </w:r>
            <w:r/>
          </w:p>
        </w:tc>
      </w:tr>
      <w:tr>
        <w:trPr>
          <w:trHeight w:val="1279"/>
        </w:trPr>
        <w:tc>
          <w:tcPr>
            <w:tcW w:w="819" w:type="dxa"/>
            <w:vAlign w:val="center"/>
            <w:textDirection w:val="lrTb"/>
            <w:noWrap w:val="false"/>
          </w:tcPr>
          <w:p>
            <w:pPr>
              <w:pStyle w:val="1275"/>
              <w:jc w:val="center"/>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16</w:t>
            </w:r>
            <w:r>
              <w:rPr>
                <w:rFonts w:hint="eastAsia" w:ascii="宋体" w:cs="宋体"/>
                <w:bCs/>
                <w:color w:val="000000"/>
                <w:szCs w:val="21"/>
              </w:rPr>
            </w:r>
            <w:r/>
          </w:p>
        </w:tc>
        <w:tc>
          <w:tcPr>
            <w:tcW w:w="8928" w:type="dxa"/>
            <w:vAlign w:val="center"/>
            <w:textDirection w:val="lrTb"/>
            <w:noWrap w:val="false"/>
          </w:tcPr>
          <w:p>
            <w:pPr>
              <w:pStyle w:val="127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w:t>
            </w:r>
            <w:r>
              <w:rPr>
                <w:rFonts w:hint="eastAsia" w:ascii="宋体" w:hAnsi="宋体" w:cs="宋体"/>
                <w:color w:val="000000"/>
                <w:szCs w:val="21"/>
              </w:rPr>
            </w:r>
            <w:r/>
          </w:p>
        </w:tc>
      </w:tr>
    </w:tbl>
    <w:p>
      <w:pPr>
        <w:pStyle w:val="1275"/>
        <w:ind w:firstLine="420"/>
        <w:spacing w:line="360" w:lineRule="auto"/>
        <w:shd w:val="clear" w:color="auto" w:fill="ffffff"/>
        <w:widowControl/>
        <w:rPr>
          <w:rFonts w:hint="eastAsia" w:ascii="宋体" w:cs="宋体"/>
          <w:sz w:val="24"/>
        </w:rPr>
        <w:outlineLvl w:val="1"/>
      </w:pPr>
      <w:r/>
      <w:bookmarkStart w:id="43" w:name="_Toc17386"/>
      <w:r>
        <w:rPr>
          <w:rFonts w:hint="eastAsia" w:ascii="宋体" w:cs="宋体"/>
          <w:b/>
          <w:bCs/>
          <w:sz w:val="24"/>
        </w:rPr>
        <w:t xml:space="preserve">一、总 则</w:t>
      </w:r>
      <w:bookmarkEnd w:id="41"/>
      <w:r/>
      <w:bookmarkEnd w:id="42"/>
      <w:r/>
      <w:bookmarkEnd w:id="43"/>
      <w:r>
        <w:rPr>
          <w:rFonts w:hint="eastAsia" w:ascii="宋体" w:cs="宋体"/>
          <w:sz w:val="24"/>
        </w:rPr>
      </w:r>
      <w:r/>
    </w:p>
    <w:p>
      <w:pPr>
        <w:pStyle w:val="1275"/>
        <w:ind w:firstLine="420"/>
        <w:spacing w:line="360" w:lineRule="auto"/>
        <w:rPr>
          <w:rFonts w:hint="eastAsia" w:ascii="宋体" w:cs="宋体"/>
          <w:b/>
          <w:szCs w:val="21"/>
          <w:lang w:val="zh-CN"/>
        </w:rPr>
        <w:outlineLvl w:val="2"/>
      </w:pPr>
      <w:r/>
      <w:bookmarkStart w:id="44" w:name="_Toc21738"/>
      <w:r/>
      <w:bookmarkStart w:id="45" w:name="_Toc3951"/>
      <w:r/>
      <w:bookmarkStart w:id="46" w:name="_Toc25955"/>
      <w:r/>
      <w:bookmarkStart w:id="47" w:name="_Toc6334"/>
      <w:r/>
      <w:bookmarkStart w:id="48" w:name="_Toc513029204"/>
      <w:r/>
      <w:bookmarkStart w:id="49" w:name="_Toc20823276"/>
      <w:r/>
      <w:bookmarkStart w:id="50" w:name="_Toc16938520"/>
      <w:r/>
      <w:bookmarkStart w:id="51" w:name="_Toc24947"/>
      <w:r/>
      <w:bookmarkStart w:id="52" w:name="_Toc458694821"/>
      <w:r>
        <w:rPr>
          <w:rFonts w:hint="eastAsia" w:ascii="宋体" w:cs="宋体"/>
          <w:b/>
          <w:bCs/>
          <w:szCs w:val="21"/>
          <w:lang w:val="zh-CN"/>
        </w:rPr>
        <w:t xml:space="preserve">1.</w:t>
      </w:r>
      <w:r>
        <w:rPr>
          <w:rFonts w:hint="eastAsia" w:ascii="宋体" w:cs="宋体"/>
          <w:b/>
          <w:szCs w:val="21"/>
          <w:lang w:val="zh-CN"/>
        </w:rPr>
        <w:t xml:space="preserve">适用法律</w:t>
      </w:r>
      <w:bookmarkEnd w:id="44"/>
      <w:r/>
      <w:bookmarkEnd w:id="45"/>
      <w:r/>
      <w:bookmarkEnd w:id="46"/>
      <w:r/>
      <w:bookmarkEnd w:id="47"/>
      <w:r>
        <w:rPr>
          <w:rFonts w:hint="eastAsia" w:ascii="宋体" w:cs="宋体"/>
          <w:b/>
          <w:szCs w:val="21"/>
          <w:lang w:val="zh-CN"/>
        </w:rPr>
      </w:r>
      <w:r/>
    </w:p>
    <w:p>
      <w:pPr>
        <w:pStyle w:val="1275"/>
        <w:ind w:firstLine="420"/>
        <w:spacing w:line="360" w:lineRule="auto"/>
        <w:rPr>
          <w:rFonts w:hint="eastAsia" w:ascii="宋体" w:cs="宋体"/>
          <w:szCs w:val="21"/>
          <w:lang w:val="zh-CN"/>
        </w:rPr>
      </w:pPr>
      <w:r>
        <w:rPr>
          <w:rFonts w:hint="eastAsia" w:ascii="宋体" w:cs="宋体"/>
          <w:szCs w:val="21"/>
          <w:lang w:val="zh-CN"/>
        </w:rPr>
        <w:t xml:space="preserve">1.1 《中华人民共和国政府采购法》《中华人民共和国政府采购法实施条例》《政府采购货物和服务招标投标管理办法》等有关法律、规章和规定等。</w:t>
      </w:r>
      <w:r>
        <w:rPr>
          <w:rFonts w:hint="eastAsia" w:ascii="宋体" w:cs="宋体"/>
          <w:szCs w:val="21"/>
          <w:lang w:val="zh-CN"/>
        </w:rPr>
      </w:r>
      <w:r/>
    </w:p>
    <w:p>
      <w:pPr>
        <w:pStyle w:val="1275"/>
        <w:ind w:firstLine="420"/>
        <w:spacing w:line="360" w:lineRule="auto"/>
        <w:rPr>
          <w:rFonts w:hint="eastAsia" w:ascii="宋体" w:cs="宋体"/>
          <w:b/>
          <w:szCs w:val="21"/>
          <w:lang w:val="zh-CN"/>
        </w:rPr>
        <w:outlineLvl w:val="2"/>
      </w:pPr>
      <w:r/>
      <w:bookmarkStart w:id="53" w:name="_Toc29463"/>
      <w:r/>
      <w:bookmarkStart w:id="54" w:name="_Toc10994"/>
      <w:r/>
      <w:bookmarkStart w:id="55" w:name="_Toc4566"/>
      <w:r/>
      <w:bookmarkStart w:id="56" w:name="_Toc27367"/>
      <w:r>
        <w:rPr>
          <w:rFonts w:hint="eastAsia" w:ascii="宋体" w:cs="宋体"/>
          <w:b/>
          <w:bCs/>
          <w:szCs w:val="21"/>
          <w:lang w:val="zh-CN"/>
        </w:rPr>
        <w:t xml:space="preserve">2.</w:t>
      </w:r>
      <w:r>
        <w:rPr>
          <w:rFonts w:hint="eastAsia" w:ascii="宋体" w:cs="宋体"/>
          <w:b/>
          <w:szCs w:val="21"/>
          <w:lang w:val="zh-CN"/>
        </w:rPr>
        <w:t xml:space="preserve">定义</w:t>
      </w:r>
      <w:bookmarkEnd w:id="53"/>
      <w:r/>
      <w:bookmarkEnd w:id="54"/>
      <w:r/>
      <w:bookmarkEnd w:id="55"/>
      <w:r/>
      <w:bookmarkEnd w:id="56"/>
      <w:r>
        <w:rPr>
          <w:rFonts w:hint="eastAsia" w:ascii="宋体" w:cs="宋体"/>
          <w:b/>
          <w:szCs w:val="21"/>
          <w:lang w:val="zh-CN"/>
        </w:rPr>
      </w:r>
      <w:r/>
    </w:p>
    <w:p>
      <w:pPr>
        <w:pStyle w:val="1275"/>
        <w:ind w:firstLine="420"/>
        <w:spacing w:line="360" w:lineRule="auto"/>
        <w:rPr>
          <w:rFonts w:hint="eastAsia" w:ascii="宋体" w:cs="宋体"/>
          <w:bCs/>
        </w:rPr>
      </w:pPr>
      <w:r/>
      <w:bookmarkEnd w:id="48"/>
      <w:r/>
      <w:bookmarkEnd w:id="49"/>
      <w:r/>
      <w:bookmarkEnd w:id="50"/>
      <w:r/>
      <w:bookmarkEnd w:id="51"/>
      <w:r/>
      <w:bookmarkEnd w:id="52"/>
      <w:r>
        <w:rPr>
          <w:rFonts w:hint="eastAsia" w:ascii="宋体" w:cs="宋体"/>
          <w:szCs w:val="21"/>
        </w:rPr>
        <w:t xml:space="preserve">2.1本文件</w:t>
      </w:r>
      <w:r>
        <w:rPr>
          <w:rFonts w:hint="eastAsia" w:ascii="宋体" w:cs="宋体"/>
          <w:bCs/>
        </w:rPr>
        <w:t xml:space="preserve">中采购代理机构为 </w:t>
      </w:r>
      <w:r>
        <w:rPr>
          <w:rFonts w:hint="eastAsia" w:ascii="宋体" w:cs="宋体"/>
          <w:b/>
          <w:u w:val="single"/>
        </w:rPr>
        <w:t xml:space="preserve">江苏苏美达仪器设备有限公司</w:t>
      </w:r>
      <w:r>
        <w:rPr>
          <w:rFonts w:hint="eastAsia" w:ascii="宋体" w:cs="宋体"/>
          <w:bCs/>
        </w:rPr>
        <w:t xml:space="preserve">；采购人为</w:t>
      </w:r>
      <w:r>
        <w:rPr>
          <w:rFonts w:hint="eastAsia" w:ascii="宋体" w:cs="宋体"/>
          <w:b/>
          <w:u w:val="single"/>
        </w:rPr>
        <w:t xml:space="preserve">江苏省计量科学研究院（江苏省能源计量数据中心）</w:t>
      </w:r>
      <w:r>
        <w:rPr>
          <w:rFonts w:hint="eastAsia" w:ascii="宋体" w:cs="宋体"/>
          <w:bCs/>
        </w:rPr>
        <w:t xml:space="preserve">；投标人（亦称供应商）系指参加投标竞争并满足招标文件资格要求规定的法人、其他组织或者自然人。</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2.2“货物和服务”指本文件中所述产品及相关货物和服务。</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2.3“用户或使用单位”指使用</w:t>
      </w:r>
      <w:r>
        <w:rPr>
          <w:rFonts w:hint="eastAsia" w:ascii="宋体" w:cs="宋体"/>
          <w:szCs w:val="21"/>
          <w:lang w:val="zh-CN"/>
        </w:rPr>
        <w:t xml:space="preserve">货物、服务的</w:t>
      </w:r>
      <w:r>
        <w:rPr>
          <w:rFonts w:hint="eastAsia" w:ascii="宋体" w:cs="宋体"/>
          <w:bCs/>
        </w:rPr>
        <w:t xml:space="preserve">单位。</w:t>
      </w:r>
      <w:r>
        <w:rPr>
          <w:rFonts w:hint="eastAsia" w:ascii="宋体" w:cs="宋体"/>
          <w:bCs/>
        </w:rPr>
      </w:r>
      <w:r/>
    </w:p>
    <w:p>
      <w:pPr>
        <w:pStyle w:val="1275"/>
        <w:ind w:firstLine="420"/>
        <w:spacing w:line="360" w:lineRule="auto"/>
        <w:rPr>
          <w:rFonts w:hint="eastAsia" w:ascii="宋体" w:cs="宋体"/>
          <w:b/>
          <w:szCs w:val="21"/>
          <w:lang w:val="zh-CN"/>
        </w:rPr>
        <w:outlineLvl w:val="2"/>
      </w:pPr>
      <w:r/>
      <w:bookmarkStart w:id="57" w:name="_Toc14097"/>
      <w:r/>
      <w:bookmarkStart w:id="58" w:name="_Toc18001"/>
      <w:r/>
      <w:bookmarkStart w:id="59" w:name="_Toc9879"/>
      <w:r/>
      <w:bookmarkStart w:id="60" w:name="_Toc6"/>
      <w:r>
        <w:rPr>
          <w:rFonts w:hint="eastAsia" w:ascii="宋体" w:cs="宋体"/>
          <w:b/>
          <w:bCs/>
          <w:szCs w:val="21"/>
          <w:lang w:val="zh-CN"/>
        </w:rPr>
        <w:t xml:space="preserve">3.</w:t>
      </w:r>
      <w:r>
        <w:rPr>
          <w:rFonts w:hint="eastAsia" w:ascii="宋体" w:cs="宋体"/>
          <w:b/>
          <w:szCs w:val="21"/>
          <w:lang w:val="zh-CN"/>
        </w:rPr>
        <w:t xml:space="preserve">政策功能</w:t>
      </w:r>
      <w:bookmarkEnd w:id="57"/>
      <w:r/>
      <w:bookmarkEnd w:id="58"/>
      <w:r/>
      <w:bookmarkEnd w:id="59"/>
      <w:r/>
      <w:bookmarkEnd w:id="60"/>
      <w:r>
        <w:rPr>
          <w:rFonts w:hint="eastAsia" w:ascii="宋体" w:cs="宋体"/>
          <w:b/>
          <w:szCs w:val="21"/>
          <w:lang w:val="zh-CN"/>
        </w:rPr>
      </w:r>
      <w:r/>
    </w:p>
    <w:p>
      <w:pPr>
        <w:pStyle w:val="1275"/>
        <w:ind w:firstLine="422"/>
        <w:spacing w:line="360" w:lineRule="auto"/>
        <w:rPr>
          <w:rFonts w:hint="eastAsia" w:ascii="宋体" w:cs="宋体"/>
          <w:bCs/>
          <w:szCs w:val="22"/>
          <w:lang w:val="zh-CN"/>
        </w:rPr>
      </w:pPr>
      <w:r>
        <w:rPr>
          <w:rFonts w:hint="eastAsia" w:ascii="宋体" w:cs="宋体"/>
          <w:b/>
          <w:szCs w:val="22"/>
          <w:lang w:val="zh-CN"/>
        </w:rPr>
        <w:t xml:space="preserve">3.1促进中小企业发展政策：</w:t>
      </w:r>
      <w:r>
        <w:rPr>
          <w:rFonts w:hint="eastAsia" w:ascii="宋体" w:cs="宋体"/>
          <w:bCs/>
          <w:szCs w:val="22"/>
          <w:lang w:val="zh-CN"/>
        </w:rPr>
      </w:r>
      <w:r/>
    </w:p>
    <w:p>
      <w:pPr>
        <w:pStyle w:val="1275"/>
        <w:ind w:firstLine="422"/>
        <w:spacing w:line="360" w:lineRule="auto"/>
        <w:rPr>
          <w:rFonts w:hint="eastAsia" w:ascii="宋体" w:cs="宋体"/>
        </w:rPr>
      </w:pPr>
      <w:r>
        <w:rPr>
          <w:rFonts w:hint="eastAsia" w:ascii="宋体" w:cs="宋体"/>
          <w:b/>
          <w:bCs/>
        </w:rPr>
        <w:t xml:space="preserve">（1）促进小微企业发展政策</w:t>
      </w:r>
      <w:r>
        <w:rPr>
          <w:rFonts w:hint="eastAsia" w:ascii="宋体" w:cs="宋体"/>
        </w:rPr>
        <w:t xml:space="preserve">：</w:t>
      </w:r>
      <w:r>
        <w:rPr>
          <w:bCs/>
        </w:rPr>
        <w:t xml:space="preserve">根据《政府采购促进中小企业发展管理办法》规定，对小、微型企业产品的价格给予</w:t>
      </w:r>
      <w:r>
        <w:rPr>
          <w:rFonts w:hint="eastAsia"/>
          <w:bCs/>
        </w:rPr>
        <w:t xml:space="preserve">10</w:t>
      </w:r>
      <w:r>
        <w:rPr>
          <w:bCs/>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cs="宋体"/>
        </w:rPr>
      </w:r>
      <w:r/>
    </w:p>
    <w:p>
      <w:pPr>
        <w:pStyle w:val="1275"/>
        <w:ind w:firstLine="420"/>
        <w:spacing w:line="360" w:lineRule="auto"/>
        <w:rPr>
          <w:bCs/>
        </w:rPr>
      </w:pPr>
      <w:r>
        <w:rPr>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bCs/>
        </w:rPr>
        <w:t xml:space="preserve">4%</w:t>
      </w:r>
      <w:r>
        <w:rPr>
          <w:bCs/>
        </w:rPr>
        <w:t xml:space="preserve">的扣除，用扣除后的价格参加评审。</w:t>
      </w:r>
      <w:r>
        <w:rPr>
          <w:bCs/>
        </w:rPr>
      </w:r>
      <w:r/>
    </w:p>
    <w:p>
      <w:pPr>
        <w:pStyle w:val="1275"/>
        <w:ind w:firstLine="420"/>
        <w:spacing w:line="360" w:lineRule="auto"/>
        <w:rPr>
          <w:bCs/>
        </w:rPr>
      </w:pPr>
      <w:r>
        <w:rPr>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rPr>
      </w:r>
      <w:r/>
    </w:p>
    <w:p>
      <w:pPr>
        <w:pStyle w:val="1275"/>
        <w:ind w:firstLine="422"/>
        <w:spacing w:line="360" w:lineRule="auto"/>
        <w:rPr>
          <w:rFonts w:hint="eastAsia" w:ascii="宋体" w:cs="宋体"/>
          <w:szCs w:val="22"/>
        </w:rPr>
      </w:pPr>
      <w:r>
        <w:rPr>
          <w:rFonts w:hint="eastAsia" w:ascii="宋体" w:cs="宋体"/>
          <w:b/>
          <w:bCs/>
          <w:szCs w:val="22"/>
        </w:rPr>
        <w:t xml:space="preserve">（2）监狱企业扶持政策：</w:t>
      </w:r>
      <w:r>
        <w:rPr>
          <w:rFonts w:hint="eastAsia" w:ascii="宋体" w:cs="宋体"/>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cs="宋体"/>
          <w:szCs w:val="22"/>
        </w:rPr>
      </w:r>
      <w:r/>
    </w:p>
    <w:p>
      <w:pPr>
        <w:pStyle w:val="1275"/>
        <w:ind w:firstLine="422"/>
        <w:spacing w:line="360" w:lineRule="auto"/>
        <w:rPr>
          <w:rFonts w:hint="eastAsia" w:ascii="宋体" w:cs="宋体"/>
          <w:szCs w:val="22"/>
        </w:rPr>
      </w:pPr>
      <w:r>
        <w:rPr>
          <w:rFonts w:hint="eastAsia" w:ascii="宋体" w:cs="宋体"/>
          <w:b/>
          <w:bCs/>
          <w:szCs w:val="22"/>
        </w:rPr>
        <w:t xml:space="preserve">（3）残疾人福利性单位扶持政策：</w:t>
      </w:r>
      <w:r>
        <w:rPr>
          <w:rFonts w:hint="eastAsia" w:ascii="宋体" w:cs="宋体"/>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cs="宋体"/>
          <w:szCs w:val="22"/>
        </w:rPr>
      </w:r>
      <w:r/>
    </w:p>
    <w:p>
      <w:pPr>
        <w:pStyle w:val="1275"/>
        <w:ind w:firstLine="420"/>
        <w:spacing w:line="360" w:lineRule="auto"/>
        <w:rPr>
          <w:bCs/>
        </w:rPr>
      </w:pPr>
      <w:r>
        <w:rPr>
          <w:bCs/>
        </w:rPr>
        <w:t xml:space="preserve">3.2 节能产品、环境标志产品政策</w:t>
      </w:r>
      <w:r>
        <w:rPr>
          <w:bCs/>
        </w:rPr>
      </w:r>
      <w:r/>
    </w:p>
    <w:p>
      <w:pPr>
        <w:pStyle w:val="1275"/>
        <w:ind w:firstLine="420"/>
        <w:spacing w:line="360" w:lineRule="auto"/>
        <w:rPr>
          <w:bCs/>
        </w:rPr>
      </w:pPr>
      <w:r>
        <w:rPr>
          <w:bCs/>
        </w:rPr>
        <w:t xml:space="preserve">（1）政府采购节能产品、环境标志产品实施品目清单管理。</w:t>
      </w:r>
      <w:r>
        <w:rPr>
          <w:bCs/>
        </w:rPr>
      </w:r>
      <w:r/>
    </w:p>
    <w:p>
      <w:pPr>
        <w:pStyle w:val="1275"/>
        <w:ind w:firstLine="420"/>
        <w:spacing w:line="360" w:lineRule="auto"/>
        <w:rPr>
          <w:bCs/>
        </w:rPr>
      </w:pPr>
      <w:r>
        <w:rPr>
          <w:bCs/>
        </w:rPr>
        <w:t xml:space="preserve">（2）拟采购产品属于节能产品、环境标志产品品目清单规定必须强制采购的，实行强制采购。</w:t>
      </w:r>
      <w:r>
        <w:rPr>
          <w:bCs/>
        </w:rPr>
      </w:r>
      <w:r/>
    </w:p>
    <w:p>
      <w:pPr>
        <w:pStyle w:val="1275"/>
        <w:ind w:firstLine="420"/>
        <w:spacing w:line="360" w:lineRule="auto"/>
        <w:rPr>
          <w:bCs/>
        </w:rPr>
      </w:pPr>
      <w:r>
        <w:rPr>
          <w:bCs/>
        </w:rPr>
        <w:t xml:space="preserve">（3）拟采购产品属于节能产品、环境标志产品品目清单规定优先采购的，在性能、技术、服务等指标同等条件下，实行优先采购，优先采购的评审标准详见本招标文件第三章。</w:t>
      </w:r>
      <w:r>
        <w:rPr>
          <w:bCs/>
        </w:rPr>
      </w:r>
      <w:r/>
    </w:p>
    <w:p>
      <w:pPr>
        <w:pStyle w:val="1275"/>
        <w:ind w:firstLine="420"/>
        <w:spacing w:line="360" w:lineRule="auto"/>
        <w:rPr>
          <w:bCs/>
        </w:rPr>
      </w:pPr>
      <w:r>
        <w:rPr>
          <w:rFonts w:hint="eastAsia"/>
          <w:bCs/>
        </w:rPr>
        <w:t xml:space="preserve">（4）</w:t>
      </w:r>
      <w:r>
        <w:rPr>
          <w:bCs/>
        </w:rPr>
        <w:t xml:space="preserve">参加政府采购活动的节能产品、环境标志产品供应商应当提供国家确定的认证机构出具的、处于有效期之内的节能产品、环境标志产品认证证书。</w:t>
      </w:r>
      <w:r>
        <w:rPr>
          <w:bCs/>
        </w:rPr>
      </w:r>
      <w:r/>
    </w:p>
    <w:p>
      <w:pPr>
        <w:pStyle w:val="1275"/>
        <w:ind w:firstLine="420"/>
        <w:spacing w:line="360" w:lineRule="auto"/>
        <w:rPr>
          <w:rFonts w:hint="eastAsia" w:ascii="宋体" w:cs="宋体"/>
          <w:bCs/>
          <w:szCs w:val="22"/>
          <w:lang w:val="zh-CN"/>
        </w:rPr>
      </w:pPr>
      <w:r/>
      <w:bookmarkStart w:id="61" w:name="_Toc513029207"/>
      <w:r/>
      <w:bookmarkStart w:id="62" w:name="_Toc4759"/>
      <w:r/>
      <w:bookmarkStart w:id="63" w:name="_Toc25041"/>
      <w:r/>
      <w:bookmarkStart w:id="64" w:name="_Toc17711"/>
      <w:r/>
      <w:bookmarkStart w:id="65" w:name="_Toc16938523"/>
      <w:r/>
      <w:bookmarkStart w:id="66" w:name="_Toc4097"/>
      <w:r/>
      <w:bookmarkStart w:id="67" w:name="_Toc20823279"/>
      <w:r/>
      <w:bookmarkStart w:id="68" w:name="_Toc462564067"/>
      <w:r>
        <w:rPr>
          <w:rFonts w:hint="eastAsia" w:ascii="宋体" w:cs="宋体"/>
          <w:bCs/>
          <w:szCs w:val="22"/>
          <w:lang w:val="zh-CN"/>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cs="宋体"/>
          <w:bCs/>
          <w:szCs w:val="22"/>
          <w:lang w:val="zh-CN"/>
        </w:rPr>
      </w:r>
      <w:r/>
    </w:p>
    <w:p>
      <w:pPr>
        <w:pStyle w:val="1275"/>
        <w:ind w:firstLine="420"/>
        <w:spacing w:line="360" w:lineRule="auto"/>
        <w:rPr>
          <w:rFonts w:hint="eastAsia" w:ascii="宋体" w:cs="宋体"/>
          <w:bCs/>
          <w:szCs w:val="22"/>
          <w:lang w:val="zh-CN"/>
        </w:rPr>
      </w:pPr>
      <w:r>
        <w:rPr>
          <w:rFonts w:hint="eastAsia" w:ascii="宋体" w:cs="宋体"/>
          <w:bCs/>
          <w:szCs w:val="22"/>
          <w:lang w:val="zh-CN"/>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cs="宋体"/>
          <w:bCs/>
          <w:szCs w:val="22"/>
          <w:lang w:val="zh-CN"/>
        </w:rPr>
      </w:r>
      <w:r/>
    </w:p>
    <w:p>
      <w:pPr>
        <w:pStyle w:val="1275"/>
        <w:ind w:firstLine="420"/>
        <w:spacing w:line="360" w:lineRule="auto"/>
        <w:rPr>
          <w:rFonts w:hint="eastAsia" w:ascii="宋体" w:cs="宋体"/>
          <w:bCs/>
          <w:szCs w:val="22"/>
          <w:lang w:val="zh-CN"/>
        </w:rPr>
      </w:pPr>
      <w:r>
        <w:rPr>
          <w:rFonts w:hint="eastAsia" w:ascii="宋体" w:cs="宋体"/>
          <w:bCs/>
          <w:szCs w:val="22"/>
          <w:lang w:val="zh-CN"/>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cs="宋体"/>
          <w:bCs/>
          <w:szCs w:val="22"/>
          <w:lang w:val="zh-CN"/>
        </w:rPr>
      </w:r>
      <w:r/>
    </w:p>
    <w:p>
      <w:pPr>
        <w:pStyle w:val="1275"/>
        <w:ind w:firstLine="420"/>
        <w:spacing w:line="360" w:lineRule="auto"/>
        <w:rPr>
          <w:rFonts w:hint="eastAsia" w:ascii="宋体" w:cs="宋体"/>
          <w:bCs/>
          <w:szCs w:val="22"/>
          <w:lang w:val="zh-CN"/>
        </w:rPr>
      </w:pPr>
      <w:r>
        <w:rPr>
          <w:rFonts w:hint="eastAsia" w:ascii="宋体" w:cs="宋体"/>
          <w:bCs/>
          <w:szCs w:val="22"/>
          <w:lang w:val="zh-CN"/>
        </w:rPr>
        <w:t xml:space="preserve">3.6为推进社会诚信体系建设，根据财政部等政策要求，在政府采购活动中查询、使用信用记录，推进政府采购领域联合惩戒工作。</w:t>
      </w:r>
      <w:r>
        <w:rPr>
          <w:rFonts w:hint="eastAsia" w:ascii="宋体" w:cs="宋体"/>
          <w:bCs/>
          <w:szCs w:val="22"/>
          <w:lang w:val="zh-CN"/>
        </w:rPr>
      </w:r>
      <w:r/>
    </w:p>
    <w:p>
      <w:pPr>
        <w:pStyle w:val="1275"/>
        <w:ind w:firstLine="420"/>
        <w:spacing w:line="360" w:lineRule="auto"/>
        <w:rPr>
          <w:rFonts w:hint="eastAsia" w:ascii="宋体" w:cs="宋体"/>
          <w:bCs/>
          <w:szCs w:val="22"/>
          <w:lang w:val="zh-CN"/>
        </w:rPr>
      </w:pPr>
      <w:r>
        <w:rPr>
          <w:rFonts w:hint="eastAsia" w:ascii="宋体" w:cs="宋体"/>
          <w:bCs/>
          <w:szCs w:val="22"/>
          <w:lang w:val="zh-CN"/>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cs="宋体"/>
          <w:bCs/>
          <w:szCs w:val="22"/>
          <w:lang w:val="zh-CN"/>
        </w:rPr>
      </w:r>
      <w:r/>
    </w:p>
    <w:p>
      <w:pPr>
        <w:pStyle w:val="1275"/>
        <w:ind w:firstLine="420"/>
        <w:spacing w:line="440" w:lineRule="exact"/>
        <w:rPr>
          <w:szCs w:val="21"/>
          <w:lang w:val="zh-CN"/>
        </w:rPr>
      </w:pPr>
      <w:r>
        <w:rPr>
          <w:rFonts w:hint="eastAsia"/>
          <w:szCs w:val="21"/>
        </w:rPr>
        <w:t xml:space="preserve">3.7</w:t>
      </w:r>
      <w:r>
        <w:rPr>
          <w:szCs w:val="21"/>
          <w:lang w:val="zh-CN"/>
        </w:rPr>
        <w:t xml:space="preserve">采购本国产品的支持政策：</w:t>
      </w:r>
      <w:r>
        <w:rPr>
          <w:szCs w:val="21"/>
          <w:lang w:val="zh-CN"/>
        </w:rPr>
      </w:r>
      <w:r/>
    </w:p>
    <w:p>
      <w:pPr>
        <w:pStyle w:val="1275"/>
        <w:ind w:firstLine="420"/>
        <w:spacing w:line="440" w:lineRule="exact"/>
        <w:rPr>
          <w:szCs w:val="21"/>
          <w:lang w:val="zh-CN"/>
        </w:rPr>
      </w:pPr>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szCs w:val="21"/>
          <w:lang w:val="zh-CN"/>
        </w:rPr>
      </w:r>
      <w:r/>
    </w:p>
    <w:p>
      <w:pPr>
        <w:pStyle w:val="1275"/>
        <w:ind w:firstLine="420"/>
        <w:spacing w:line="440" w:lineRule="exact"/>
        <w:rPr>
          <w:szCs w:val="21"/>
          <w:lang w:val="zh-CN"/>
        </w:rPr>
      </w:pPr>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lang w:val="zh-CN"/>
        </w:rPr>
      </w:r>
      <w:r/>
    </w:p>
    <w:p>
      <w:pPr>
        <w:pStyle w:val="1275"/>
        <w:ind w:firstLine="420"/>
        <w:spacing w:line="440" w:lineRule="exact"/>
        <w:rPr>
          <w:szCs w:val="21"/>
          <w:lang w:val="zh-CN"/>
        </w:rPr>
      </w:pPr>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Cs w:val="21"/>
          <w:lang w:val="zh-CN"/>
        </w:rPr>
      </w:r>
      <w:r/>
    </w:p>
    <w:p>
      <w:pPr>
        <w:pStyle w:val="1275"/>
        <w:ind w:firstLine="420"/>
        <w:spacing w:line="360" w:lineRule="auto"/>
        <w:rPr>
          <w:rFonts w:hint="eastAsia" w:ascii="宋体" w:cs="宋体"/>
          <w:bCs/>
          <w:szCs w:val="22"/>
          <w:lang w:val="zh-CN"/>
        </w:rPr>
      </w:pPr>
      <w:r>
        <w:rPr>
          <w:szCs w:val="21"/>
          <w:lang w:val="zh-CN"/>
        </w:rPr>
        <w:t xml:space="preserve">具体内容</w:t>
      </w:r>
      <w:r>
        <w:rPr>
          <w:rFonts w:hint="eastAsia"/>
          <w:szCs w:val="21"/>
          <w:lang w:val="zh-CN"/>
        </w:rPr>
        <w:t xml:space="preserve">详见第三章 评标标准。</w:t>
      </w:r>
      <w:r>
        <w:rPr>
          <w:rFonts w:hint="eastAsia" w:ascii="宋体" w:cs="宋体"/>
          <w:bCs/>
          <w:szCs w:val="22"/>
          <w:lang w:val="zh-CN"/>
        </w:rPr>
      </w:r>
      <w:r/>
    </w:p>
    <w:p>
      <w:pPr>
        <w:pStyle w:val="1275"/>
        <w:ind w:firstLine="420"/>
        <w:spacing w:line="360" w:lineRule="auto"/>
        <w:rPr>
          <w:rFonts w:hint="eastAsia" w:ascii="宋体" w:cs="宋体"/>
          <w:b/>
          <w:szCs w:val="21"/>
          <w:lang w:val="zh-CN"/>
        </w:rPr>
        <w:outlineLvl w:val="2"/>
      </w:pPr>
      <w:r/>
      <w:bookmarkStart w:id="69" w:name="_Toc10363"/>
      <w:r>
        <w:rPr>
          <w:rFonts w:hint="eastAsia" w:ascii="宋体" w:cs="宋体"/>
          <w:b/>
          <w:bCs/>
          <w:szCs w:val="21"/>
          <w:lang w:val="zh-CN"/>
        </w:rPr>
        <w:t xml:space="preserve">4.</w:t>
      </w:r>
      <w:r>
        <w:rPr>
          <w:rFonts w:hint="eastAsia" w:ascii="宋体" w:cs="宋体"/>
          <w:b/>
          <w:szCs w:val="21"/>
          <w:lang w:val="zh-CN"/>
        </w:rPr>
        <w:t xml:space="preserve">投标费用</w:t>
      </w:r>
      <w:bookmarkEnd w:id="61"/>
      <w:r/>
      <w:bookmarkEnd w:id="62"/>
      <w:r/>
      <w:bookmarkEnd w:id="63"/>
      <w:r/>
      <w:bookmarkEnd w:id="64"/>
      <w:r/>
      <w:bookmarkEnd w:id="65"/>
      <w:r/>
      <w:bookmarkEnd w:id="66"/>
      <w:r/>
      <w:bookmarkEnd w:id="67"/>
      <w:r/>
      <w:bookmarkEnd w:id="68"/>
      <w:r/>
      <w:bookmarkEnd w:id="69"/>
      <w:r>
        <w:rPr>
          <w:rFonts w:hint="eastAsia" w:ascii="宋体" w:cs="宋体"/>
          <w:b/>
          <w:szCs w:val="21"/>
          <w:lang w:val="zh-CN"/>
        </w:rPr>
      </w:r>
      <w:r/>
    </w:p>
    <w:p>
      <w:pPr>
        <w:pStyle w:val="1275"/>
        <w:ind w:firstLine="420"/>
        <w:spacing w:line="360" w:lineRule="auto"/>
        <w:rPr>
          <w:rFonts w:hint="eastAsia" w:ascii="宋体" w:cs="宋体"/>
          <w:szCs w:val="21"/>
        </w:rPr>
      </w:pPr>
      <w:r>
        <w:rPr>
          <w:rFonts w:hint="eastAsia" w:ascii="宋体" w:cs="宋体"/>
          <w:szCs w:val="21"/>
        </w:rPr>
        <w:t xml:space="preserve">4.1 供应商应自行承担所有与参加投标有关的费用，无论采购结果如何，代理机构和采购人在任何情况下均无义务和责任承担这些费用。</w:t>
      </w:r>
      <w:r>
        <w:rPr>
          <w:rFonts w:hint="eastAsia" w:ascii="宋体" w:cs="宋体"/>
          <w:szCs w:val="21"/>
        </w:rPr>
      </w:r>
      <w:r/>
    </w:p>
    <w:p>
      <w:pPr>
        <w:pStyle w:val="1275"/>
        <w:ind w:firstLine="420"/>
        <w:spacing w:line="360" w:lineRule="auto"/>
        <w:rPr>
          <w:rFonts w:hint="eastAsia" w:ascii="宋体" w:cs="宋体"/>
          <w:b/>
          <w:szCs w:val="21"/>
          <w:lang w:val="zh-CN"/>
        </w:rPr>
        <w:outlineLvl w:val="2"/>
      </w:pPr>
      <w:r/>
      <w:bookmarkStart w:id="70" w:name="_Toc32255"/>
      <w:r/>
      <w:bookmarkStart w:id="71" w:name="_Toc957"/>
      <w:r/>
      <w:bookmarkStart w:id="72" w:name="_Toc344"/>
      <w:r/>
      <w:bookmarkStart w:id="73" w:name="_Toc6077"/>
      <w:r>
        <w:rPr>
          <w:rFonts w:hint="eastAsia" w:ascii="宋体" w:cs="宋体"/>
          <w:b/>
          <w:bCs/>
          <w:szCs w:val="21"/>
          <w:lang w:val="zh-CN"/>
        </w:rPr>
        <w:t xml:space="preserve">5.</w:t>
      </w:r>
      <w:r>
        <w:rPr>
          <w:rFonts w:hint="eastAsia" w:ascii="宋体" w:cs="宋体"/>
          <w:b/>
          <w:szCs w:val="21"/>
          <w:lang w:val="zh-CN"/>
        </w:rPr>
        <w:t xml:space="preserve">招标文件的约束力</w:t>
      </w:r>
      <w:bookmarkEnd w:id="70"/>
      <w:r/>
      <w:bookmarkEnd w:id="71"/>
      <w:r/>
      <w:bookmarkEnd w:id="72"/>
      <w:r/>
      <w:bookmarkEnd w:id="73"/>
      <w:r>
        <w:rPr>
          <w:rFonts w:hint="eastAsia" w:ascii="宋体" w:cs="宋体"/>
          <w:b/>
          <w:szCs w:val="21"/>
          <w:lang w:val="zh-CN"/>
        </w:rPr>
      </w:r>
      <w:r/>
    </w:p>
    <w:p>
      <w:pPr>
        <w:pStyle w:val="1275"/>
        <w:ind w:firstLine="420"/>
        <w:spacing w:line="360" w:lineRule="auto"/>
        <w:rPr>
          <w:rFonts w:hint="eastAsia" w:ascii="宋体" w:cs="宋体"/>
          <w:szCs w:val="21"/>
        </w:rPr>
      </w:pPr>
      <w:r>
        <w:rPr>
          <w:rFonts w:hint="eastAsia" w:ascii="宋体" w:cs="宋体"/>
          <w:szCs w:val="21"/>
        </w:rPr>
        <w:t xml:space="preserve">5.1 供应商一旦参加本项目采购活动，即被认为接受了本招标文件的规定和约束。</w:t>
      </w:r>
      <w:r>
        <w:rPr>
          <w:rFonts w:hint="eastAsia" w:ascii="宋体" w:cs="宋体"/>
          <w:szCs w:val="21"/>
        </w:rPr>
      </w:r>
      <w:r/>
    </w:p>
    <w:p>
      <w:pPr>
        <w:pStyle w:val="1275"/>
        <w:ind w:firstLine="420"/>
        <w:spacing w:line="360" w:lineRule="auto"/>
        <w:shd w:val="clear" w:color="auto" w:fill="ffffff"/>
        <w:widowControl/>
        <w:rPr>
          <w:rFonts w:hint="eastAsia" w:ascii="宋体" w:cs="宋体"/>
          <w:b/>
          <w:bCs/>
          <w:sz w:val="24"/>
        </w:rPr>
        <w:outlineLvl w:val="1"/>
      </w:pPr>
      <w:r/>
      <w:bookmarkStart w:id="74" w:name="_Toc25826"/>
      <w:r/>
      <w:bookmarkStart w:id="75" w:name="_Toc120614215"/>
      <w:r/>
      <w:bookmarkStart w:id="76" w:name="_Toc513029209"/>
      <w:r/>
      <w:bookmarkStart w:id="77" w:name="_Toc30276"/>
      <w:r/>
      <w:bookmarkStart w:id="78" w:name="_Toc16938525"/>
      <w:r/>
      <w:bookmarkStart w:id="79" w:name="_Toc15035"/>
      <w:r/>
      <w:bookmarkStart w:id="80" w:name="_Toc20823281"/>
      <w:r/>
      <w:bookmarkStart w:id="81" w:name="_Toc2818"/>
      <w:r>
        <w:rPr>
          <w:rFonts w:hint="eastAsia" w:ascii="宋体" w:cs="宋体"/>
          <w:b/>
          <w:bCs/>
          <w:sz w:val="24"/>
        </w:rPr>
        <w:t xml:space="preserve">二、招标文件</w:t>
      </w:r>
      <w:bookmarkEnd w:id="74"/>
      <w:r/>
      <w:bookmarkEnd w:id="75"/>
      <w:r/>
      <w:bookmarkEnd w:id="76"/>
      <w:r/>
      <w:bookmarkEnd w:id="77"/>
      <w:r/>
      <w:bookmarkEnd w:id="78"/>
      <w:r/>
      <w:bookmarkEnd w:id="79"/>
      <w:r/>
      <w:bookmarkEnd w:id="80"/>
      <w:r/>
      <w:bookmarkEnd w:id="81"/>
      <w:r>
        <w:rPr>
          <w:rFonts w:hint="eastAsia" w:ascii="宋体" w:cs="宋体"/>
          <w:b/>
          <w:bCs/>
          <w:sz w:val="24"/>
        </w:rPr>
      </w:r>
      <w:r/>
    </w:p>
    <w:p>
      <w:pPr>
        <w:pStyle w:val="1275"/>
        <w:ind w:firstLine="420"/>
        <w:spacing w:line="360" w:lineRule="auto"/>
        <w:rPr>
          <w:rFonts w:hint="eastAsia" w:ascii="宋体" w:cs="宋体"/>
          <w:b/>
          <w:szCs w:val="21"/>
          <w:lang w:val="zh-CN"/>
        </w:rPr>
        <w:outlineLvl w:val="2"/>
      </w:pPr>
      <w:r/>
      <w:bookmarkStart w:id="82" w:name="_Toc9317"/>
      <w:r/>
      <w:bookmarkStart w:id="83" w:name="_Toc17388"/>
      <w:r/>
      <w:bookmarkStart w:id="84" w:name="_Toc31631"/>
      <w:r/>
      <w:bookmarkStart w:id="85" w:name="_Toc513029210"/>
      <w:r/>
      <w:bookmarkStart w:id="86" w:name="_Toc20823282"/>
      <w:r/>
      <w:bookmarkStart w:id="87" w:name="_Toc16938526"/>
      <w:r/>
      <w:bookmarkStart w:id="88" w:name="_Toc15685"/>
      <w:r>
        <w:rPr>
          <w:rFonts w:hint="eastAsia" w:ascii="宋体" w:cs="宋体"/>
          <w:b/>
          <w:bCs/>
          <w:szCs w:val="21"/>
          <w:lang w:val="zh-CN"/>
        </w:rPr>
        <w:t xml:space="preserve">6.</w:t>
      </w:r>
      <w:r>
        <w:rPr>
          <w:rFonts w:hint="eastAsia" w:ascii="宋体" w:cs="宋体"/>
          <w:b/>
          <w:szCs w:val="21"/>
          <w:lang w:val="zh-CN"/>
        </w:rPr>
        <w:t xml:space="preserve">招标文件构成</w:t>
      </w:r>
      <w:bookmarkEnd w:id="82"/>
      <w:r/>
      <w:bookmarkEnd w:id="83"/>
      <w:r/>
      <w:bookmarkEnd w:id="84"/>
      <w:r/>
      <w:bookmarkEnd w:id="85"/>
      <w:r/>
      <w:bookmarkEnd w:id="86"/>
      <w:r/>
      <w:bookmarkEnd w:id="87"/>
      <w:r/>
      <w:bookmarkEnd w:id="88"/>
      <w:r>
        <w:rPr>
          <w:rFonts w:hint="eastAsia" w:ascii="宋体" w:cs="宋体"/>
          <w:b/>
          <w:szCs w:val="21"/>
          <w:lang w:val="zh-CN"/>
        </w:rPr>
      </w:r>
      <w:r/>
    </w:p>
    <w:p>
      <w:pPr>
        <w:pStyle w:val="1275"/>
        <w:ind w:firstLine="420"/>
        <w:spacing w:line="440" w:lineRule="exact"/>
        <w:rPr>
          <w:rFonts w:hint="eastAsia" w:ascii="宋体" w:cs="宋体"/>
          <w:szCs w:val="21"/>
        </w:rPr>
      </w:pPr>
      <w:r>
        <w:rPr>
          <w:rFonts w:hint="eastAsia" w:ascii="宋体" w:cs="宋体"/>
          <w:szCs w:val="21"/>
        </w:rPr>
        <w:t xml:space="preserve">6.1 招标文件由以下部分组成：</w:t>
      </w:r>
      <w:r>
        <w:rPr>
          <w:rFonts w:hint="eastAsia" w:ascii="宋体" w:cs="宋体"/>
          <w:szCs w:val="21"/>
        </w:rPr>
      </w:r>
      <w:r/>
    </w:p>
    <w:p>
      <w:pPr>
        <w:pStyle w:val="1275"/>
        <w:ind w:firstLine="840"/>
        <w:spacing w:line="440" w:lineRule="exact"/>
        <w:rPr>
          <w:color w:val="000000"/>
          <w:szCs w:val="21"/>
        </w:rPr>
      </w:pPr>
      <w:r>
        <w:rPr>
          <w:color w:val="000000"/>
          <w:szCs w:val="21"/>
        </w:rPr>
        <w:t xml:space="preserve">第一章  招标公告</w:t>
      </w:r>
      <w:r>
        <w:rPr>
          <w:color w:val="000000"/>
          <w:szCs w:val="21"/>
        </w:rPr>
      </w:r>
      <w:r/>
    </w:p>
    <w:p>
      <w:pPr>
        <w:pStyle w:val="1275"/>
        <w:ind w:firstLine="840"/>
        <w:spacing w:line="440" w:lineRule="exact"/>
        <w:rPr>
          <w:color w:val="000000"/>
          <w:szCs w:val="21"/>
        </w:rPr>
      </w:pPr>
      <w:r>
        <w:rPr>
          <w:color w:val="000000"/>
          <w:szCs w:val="21"/>
        </w:rPr>
        <w:t xml:space="preserve">第二章  投标人须知</w:t>
      </w:r>
      <w:r>
        <w:rPr>
          <w:color w:val="000000"/>
          <w:szCs w:val="21"/>
        </w:rPr>
      </w:r>
      <w:r/>
    </w:p>
    <w:p>
      <w:pPr>
        <w:pStyle w:val="1275"/>
        <w:ind w:firstLine="840"/>
        <w:spacing w:line="440" w:lineRule="exact"/>
        <w:rPr>
          <w:color w:val="000000"/>
          <w:szCs w:val="21"/>
        </w:rPr>
      </w:pPr>
      <w:r>
        <w:rPr>
          <w:color w:val="000000"/>
          <w:szCs w:val="21"/>
        </w:rPr>
        <w:t xml:space="preserve">第三章  评标标准</w:t>
      </w:r>
      <w:r>
        <w:rPr>
          <w:color w:val="000000"/>
          <w:szCs w:val="21"/>
        </w:rPr>
      </w:r>
      <w:r/>
    </w:p>
    <w:p>
      <w:pPr>
        <w:pStyle w:val="1275"/>
        <w:ind w:firstLine="840"/>
        <w:spacing w:line="440" w:lineRule="exact"/>
        <w:rPr>
          <w:color w:val="000000"/>
          <w:szCs w:val="21"/>
        </w:rPr>
      </w:pPr>
      <w:r>
        <w:rPr>
          <w:color w:val="000000"/>
          <w:szCs w:val="21"/>
        </w:rPr>
        <w:t xml:space="preserve">第四章  招标技术规格及要求</w:t>
      </w:r>
      <w:r>
        <w:rPr>
          <w:color w:val="000000"/>
          <w:szCs w:val="21"/>
        </w:rPr>
      </w:r>
      <w:r/>
    </w:p>
    <w:p>
      <w:pPr>
        <w:pStyle w:val="1275"/>
        <w:ind w:firstLine="840"/>
        <w:spacing w:line="440" w:lineRule="exact"/>
        <w:rPr>
          <w:color w:val="000000"/>
          <w:szCs w:val="21"/>
        </w:rPr>
      </w:pPr>
      <w:r>
        <w:rPr>
          <w:color w:val="000000"/>
          <w:szCs w:val="21"/>
        </w:rPr>
        <w:t xml:space="preserve">第五章  拟签订的合同文本</w:t>
      </w:r>
      <w:r>
        <w:rPr>
          <w:color w:val="000000"/>
          <w:szCs w:val="21"/>
        </w:rPr>
      </w:r>
      <w:r/>
    </w:p>
    <w:p>
      <w:pPr>
        <w:pStyle w:val="1275"/>
        <w:ind w:firstLine="840"/>
        <w:spacing w:line="440" w:lineRule="exact"/>
        <w:rPr>
          <w:color w:val="000000"/>
          <w:szCs w:val="21"/>
        </w:rPr>
      </w:pPr>
      <w:r>
        <w:rPr>
          <w:color w:val="000000"/>
          <w:szCs w:val="21"/>
        </w:rPr>
        <w:t xml:space="preserve">第六章  投标文件格式及附件</w:t>
      </w:r>
      <w:r>
        <w:rPr>
          <w:color w:val="000000"/>
          <w:szCs w:val="21"/>
        </w:rPr>
      </w:r>
      <w:r/>
    </w:p>
    <w:p>
      <w:pPr>
        <w:pStyle w:val="1275"/>
        <w:ind w:firstLine="420"/>
        <w:spacing w:line="360" w:lineRule="auto"/>
        <w:rPr>
          <w:rFonts w:hint="eastAsia" w:ascii="宋体" w:cs="宋体"/>
          <w:szCs w:val="21"/>
        </w:rPr>
      </w:pPr>
      <w:r>
        <w:rPr>
          <w:rFonts w:hint="eastAsia" w:ascii="宋体" w:cs="宋体"/>
          <w:szCs w:val="21"/>
        </w:rPr>
        <w:t xml:space="preserve">6.2</w:t>
      </w:r>
      <w:r>
        <w:rPr>
          <w:rFonts w:hint="eastAsia" w:ascii="宋体" w:cs="宋体"/>
          <w:b/>
          <w:bCs/>
          <w:szCs w:val="21"/>
        </w:rPr>
        <w:t xml:space="preserve">招标的最小单位是包/标段。招标技术规格及要求中未分包/标段的，供应商对要求提供的服务不得部分投标；招标技术规格及要求中已经分包/标段的，以包/标段为单位投标</w:t>
      </w:r>
      <w:r>
        <w:rPr>
          <w:rFonts w:hint="eastAsia" w:ascii="宋体" w:cs="宋体"/>
          <w:szCs w:val="21"/>
        </w:rPr>
        <w:t xml:space="preserve">。</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6.4供应商被视为充分熟悉本招标项目的各种情况以及与履行合同有关的一切其他情况。</w:t>
      </w:r>
      <w:r>
        <w:rPr>
          <w:rFonts w:hint="eastAsia" w:ascii="宋体" w:cs="宋体"/>
          <w:szCs w:val="21"/>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89" w:name="_Toc22007"/>
      <w:r/>
      <w:bookmarkStart w:id="90" w:name="_Toc32766"/>
      <w:r/>
      <w:bookmarkStart w:id="91" w:name="_Toc14415"/>
      <w:r/>
      <w:bookmarkStart w:id="92" w:name="_Toc21685"/>
      <w:r>
        <w:rPr>
          <w:rFonts w:hint="eastAsia" w:ascii="宋体" w:eastAsia="宋体" w:cs="宋体"/>
          <w:b/>
          <w:bCs/>
          <w:sz w:val="21"/>
          <w:szCs w:val="21"/>
        </w:rPr>
        <w:t xml:space="preserve">7.招标文件的澄清、补充或修改</w:t>
      </w:r>
      <w:bookmarkEnd w:id="89"/>
      <w:r/>
      <w:bookmarkEnd w:id="90"/>
      <w:r/>
      <w:bookmarkEnd w:id="91"/>
      <w:r/>
      <w:bookmarkEnd w:id="92"/>
      <w:r>
        <w:rPr>
          <w:rFonts w:hint="eastAsia" w:ascii="宋体" w:eastAsia="宋体" w:cs="宋体"/>
          <w:b/>
          <w:bCs/>
          <w:sz w:val="21"/>
          <w:szCs w:val="21"/>
        </w:rPr>
      </w:r>
      <w:r/>
    </w:p>
    <w:p>
      <w:pPr>
        <w:pStyle w:val="1275"/>
        <w:ind w:firstLine="441"/>
        <w:spacing w:line="440" w:lineRule="exact"/>
        <w:rPr>
          <w:rFonts w:hint="eastAsia" w:ascii="宋体" w:hAnsi="宋体" w:cs="宋体"/>
        </w:rPr>
      </w:pPr>
      <w:r/>
      <w:bookmarkStart w:id="93" w:name="_Toc29128"/>
      <w:r>
        <w:rPr>
          <w:rFonts w:hint="eastAsia" w:ascii="宋体" w:hAnsi="宋体" w:cs="宋体"/>
          <w:color w:val="000000"/>
          <w:szCs w:val="21"/>
        </w:rPr>
        <w:t xml:space="preserve">7.1</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275"/>
        <w:ind w:firstLine="441"/>
        <w:spacing w:line="440" w:lineRule="exact"/>
        <w:rPr>
          <w:rFonts w:hint="eastAsia" w:ascii="宋体" w:hAnsi="宋体" w:cs="宋体"/>
        </w:rPr>
      </w:pPr>
      <w:r>
        <w:rPr>
          <w:rFonts w:hint="eastAsia" w:ascii="宋体" w:hAnsi="宋体" w:cs="宋体"/>
          <w:color w:val="000000"/>
          <w:szCs w:val="21"/>
        </w:rPr>
        <w:t xml:space="preserve">7.2 </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275"/>
        <w:ind w:firstLine="441"/>
        <w:spacing w:line="440" w:lineRule="exact"/>
        <w:rPr>
          <w:rFonts w:hint="eastAsia" w:ascii="宋体" w:hAnsi="宋体" w:cs="宋体"/>
        </w:rPr>
      </w:pPr>
      <w:r>
        <w:rPr>
          <w:rFonts w:hint="eastAsia" w:ascii="宋体" w:hAnsi="宋体" w:cs="宋体"/>
          <w:color w:val="000000"/>
          <w:szCs w:val="21"/>
        </w:rPr>
        <w:t xml:space="preserve">7.3 </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275"/>
        <w:ind w:firstLine="441"/>
        <w:spacing w:line="440" w:lineRule="exact"/>
        <w:rPr>
          <w:rFonts w:hint="eastAsia" w:ascii="宋体" w:hAnsi="宋体" w:cs="宋体"/>
          <w:bCs/>
        </w:rPr>
      </w:pPr>
      <w:r>
        <w:rPr>
          <w:rFonts w:hint="eastAsia" w:ascii="宋体" w:hAnsi="宋体" w:cs="宋体"/>
          <w:bCs/>
        </w:rPr>
        <w:t xml:space="preserve">7.4 当招标文件与以上澄清或修改公告的内容相互矛盾时，以采购代理机构最后发出的澄清或修改为准。 </w:t>
      </w:r>
      <w:r>
        <w:rPr>
          <w:rFonts w:hint="eastAsia" w:ascii="宋体" w:hAnsi="宋体" w:cs="宋体"/>
          <w:bCs/>
        </w:rPr>
      </w:r>
      <w:r/>
    </w:p>
    <w:p>
      <w:pPr>
        <w:pStyle w:val="1275"/>
        <w:ind w:firstLine="441"/>
        <w:spacing w:line="440" w:lineRule="exact"/>
        <w:rPr>
          <w:rFonts w:hint="eastAsia" w:ascii="宋体" w:hAnsi="宋体" w:cs="宋体"/>
          <w:bCs/>
        </w:rPr>
      </w:pPr>
      <w:r>
        <w:rPr>
          <w:rFonts w:hint="eastAsia" w:ascii="宋体" w:hAnsi="宋体" w:cs="宋体"/>
          <w:color w:val="000000"/>
          <w:szCs w:val="21"/>
        </w:rPr>
        <w:t xml:space="preserve">7.5</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采购代理机构有权决定推迟投标截止时间和开标时间，并按7.2条规定的方式通知供应商。</w:t>
      </w:r>
      <w:r>
        <w:rPr>
          <w:rFonts w:hint="eastAsia" w:ascii="宋体" w:hAnsi="宋体" w:cs="宋体"/>
          <w:bCs/>
        </w:rPr>
      </w:r>
      <w:r/>
    </w:p>
    <w:p>
      <w:pPr>
        <w:pStyle w:val="1275"/>
        <w:ind w:firstLine="420"/>
        <w:spacing w:line="360" w:lineRule="auto"/>
        <w:shd w:val="clear" w:color="auto" w:fill="ffffff"/>
        <w:widowControl/>
        <w:rPr>
          <w:rFonts w:hint="eastAsia" w:ascii="宋体" w:cs="宋体"/>
          <w:b/>
          <w:bCs/>
          <w:sz w:val="24"/>
        </w:rPr>
        <w:outlineLvl w:val="1"/>
      </w:pPr>
      <w:r/>
      <w:bookmarkStart w:id="94" w:name="_Toc26144"/>
      <w:r/>
      <w:bookmarkStart w:id="95" w:name="_Toc17242"/>
      <w:r/>
      <w:bookmarkStart w:id="96" w:name="_Toc19559"/>
      <w:r>
        <w:rPr>
          <w:rFonts w:hint="eastAsia" w:ascii="宋体" w:cs="宋体"/>
          <w:b/>
          <w:bCs/>
          <w:sz w:val="24"/>
        </w:rPr>
        <w:t xml:space="preserve">三、投标文件的编制</w:t>
      </w:r>
      <w:bookmarkEnd w:id="93"/>
      <w:r/>
      <w:bookmarkEnd w:id="94"/>
      <w:r/>
      <w:bookmarkEnd w:id="95"/>
      <w:r/>
      <w:bookmarkEnd w:id="96"/>
      <w:r>
        <w:rPr>
          <w:rFonts w:hint="eastAsia" w:ascii="宋体" w:cs="宋体"/>
          <w:b/>
          <w:bCs/>
          <w:sz w:val="24"/>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97" w:name="_Toc28127"/>
      <w:r/>
      <w:bookmarkStart w:id="98" w:name="_Toc10109"/>
      <w:r/>
      <w:bookmarkStart w:id="99" w:name="_Toc7806"/>
      <w:r/>
      <w:bookmarkStart w:id="100" w:name="_Toc4416"/>
      <w:r>
        <w:rPr>
          <w:rFonts w:hint="eastAsia" w:ascii="宋体" w:eastAsia="宋体" w:cs="宋体"/>
          <w:b/>
          <w:bCs/>
          <w:sz w:val="21"/>
          <w:szCs w:val="21"/>
        </w:rPr>
        <w:t xml:space="preserve">8.</w:t>
      </w:r>
      <w:bookmarkEnd w:id="97"/>
      <w:r>
        <w:rPr>
          <w:rFonts w:hint="eastAsia" w:ascii="宋体" w:eastAsia="宋体" w:cs="宋体"/>
          <w:b/>
          <w:bCs/>
          <w:sz w:val="21"/>
          <w:szCs w:val="21"/>
        </w:rPr>
        <w:t xml:space="preserve">投标文件的语言、计量单位、货币</w:t>
      </w:r>
      <w:bookmarkEnd w:id="98"/>
      <w:r/>
      <w:bookmarkEnd w:id="99"/>
      <w:r/>
      <w:bookmarkEnd w:id="100"/>
      <w:r>
        <w:rPr>
          <w:rFonts w:hint="eastAsia" w:ascii="宋体" w:eastAsia="宋体" w:cs="宋体"/>
          <w:b/>
          <w:bCs/>
          <w:sz w:val="21"/>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8.1 供应商提交的投标文件（包括技术文件和资料、图纸中的说明）以及供应商与采购代理机构之间就有关投标的所有来往函电均应以简体中文书写。</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bookmarkStart w:id="101" w:name="_Toc19298"/>
      <w:r>
        <w:rPr>
          <w:rFonts w:hint="eastAsia" w:ascii="宋体" w:cs="宋体"/>
          <w:szCs w:val="21"/>
        </w:rPr>
        <w:t xml:space="preserve">8.3 除招标文件中有特殊要求外，招标文件中所使用的计量单位应为国家法定计量单位。</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8.4 本招标文件所表述的时间均为北京时间。</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8.5 </w:t>
      </w:r>
      <w:r>
        <w:rPr>
          <w:rFonts w:hint="eastAsia" w:ascii="宋体" w:cs="宋体"/>
          <w:b/>
          <w:bCs/>
        </w:rPr>
        <w:t xml:space="preserve">所有投标响应报价</w:t>
      </w:r>
      <w:r>
        <w:rPr>
          <w:rFonts w:hint="eastAsia" w:ascii="宋体" w:cs="宋体"/>
          <w:b/>
          <w:bCs/>
          <w:szCs w:val="22"/>
        </w:rPr>
        <w:t xml:space="preserve">具体详见投标人须知前附表。</w:t>
      </w:r>
      <w:r>
        <w:rPr>
          <w:rFonts w:hint="eastAsia" w:ascii="宋体" w:cs="宋体"/>
          <w:szCs w:val="21"/>
        </w:rPr>
      </w:r>
      <w:r/>
    </w:p>
    <w:p>
      <w:pPr>
        <w:pStyle w:val="1275"/>
        <w:ind w:firstLine="420"/>
        <w:spacing w:line="360" w:lineRule="auto"/>
        <w:rPr>
          <w:rFonts w:hint="eastAsia" w:ascii="宋体" w:cs="宋体"/>
          <w:b/>
          <w:szCs w:val="21"/>
          <w:lang w:val="zh-CN"/>
        </w:rPr>
        <w:outlineLvl w:val="2"/>
      </w:pPr>
      <w:r/>
      <w:bookmarkStart w:id="102" w:name="_Toc14743"/>
      <w:r/>
      <w:bookmarkStart w:id="103" w:name="_Toc30894"/>
      <w:r/>
      <w:bookmarkStart w:id="104" w:name="_Toc11405"/>
      <w:r/>
      <w:bookmarkStart w:id="105" w:name="_Toc19740"/>
      <w:r>
        <w:rPr>
          <w:rFonts w:hint="eastAsia" w:ascii="宋体" w:cs="宋体"/>
          <w:b/>
          <w:bCs/>
          <w:szCs w:val="21"/>
        </w:rPr>
        <w:t xml:space="preserve">9.</w:t>
      </w:r>
      <w:r>
        <w:rPr>
          <w:rFonts w:hint="eastAsia" w:ascii="宋体" w:cs="宋体"/>
          <w:b/>
          <w:szCs w:val="21"/>
          <w:lang w:val="zh-CN"/>
        </w:rPr>
        <w:t xml:space="preserve">联合体（根据采购项目是否接受联合体投标而定）</w:t>
      </w:r>
      <w:bookmarkEnd w:id="102"/>
      <w:r/>
      <w:bookmarkEnd w:id="103"/>
      <w:r/>
      <w:bookmarkEnd w:id="104"/>
      <w:r/>
      <w:bookmarkEnd w:id="105"/>
      <w:r>
        <w:rPr>
          <w:rFonts w:hint="eastAsia" w:ascii="宋体" w:cs="宋体"/>
          <w:b/>
          <w:szCs w:val="21"/>
          <w:lang w:val="zh-CN"/>
        </w:rPr>
      </w:r>
      <w:r/>
    </w:p>
    <w:p>
      <w:pPr>
        <w:pStyle w:val="1275"/>
        <w:ind w:firstLine="420"/>
        <w:spacing w:line="360" w:lineRule="auto"/>
        <w:rPr>
          <w:rFonts w:hint="eastAsia" w:ascii="宋体" w:cs="宋体"/>
          <w:szCs w:val="21"/>
        </w:rPr>
      </w:pPr>
      <w:r>
        <w:rPr>
          <w:rFonts w:hint="eastAsia" w:ascii="宋体" w:cs="宋体"/>
          <w:szCs w:val="21"/>
        </w:rPr>
        <w:t xml:space="preserve">9.1</w:t>
      </w:r>
      <w:r>
        <w:rPr>
          <w:rFonts w:hint="eastAsia" w:ascii="宋体" w:cs="宋体"/>
          <w:szCs w:val="21"/>
        </w:rPr>
        <w:t xml:space="preserve">两个以上的自然人、法人或者其他组织可以组成一个联合体，以一个供应商的身份共同参加政府采购。</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9.2鼓励大中型企业和其他自然人、法人或者其他组织与小型、微型企业组成联合体共同参加非专门面向中小企业的政府采购活动。</w:t>
      </w:r>
      <w:r>
        <w:rPr>
          <w:rFonts w:hint="eastAsia" w:ascii="宋体" w:cs="宋体"/>
          <w:szCs w:val="21"/>
        </w:rPr>
      </w:r>
      <w:r/>
    </w:p>
    <w:p>
      <w:pPr>
        <w:pStyle w:val="1275"/>
        <w:ind w:firstLine="420"/>
        <w:spacing w:line="360" w:lineRule="auto"/>
        <w:rPr>
          <w:rFonts w:hint="eastAsia" w:ascii="宋体" w:cs="宋体"/>
        </w:rPr>
      </w:pPr>
      <w:r>
        <w:rPr>
          <w:rFonts w:hint="eastAsia" w:ascii="宋体" w:cs="宋体"/>
          <w:szCs w:val="21"/>
        </w:rPr>
        <w:t xml:space="preserve">9.3</w:t>
      </w:r>
      <w:r>
        <w:rPr>
          <w:rFonts w:hint="eastAsia" w:ascii="宋体" w:cs="宋体"/>
          <w:szCs w:val="21"/>
        </w:rPr>
        <w:t xml:space="preserve">以联合体形式参加采购的，</w:t>
      </w:r>
      <w:r>
        <w:rPr>
          <w:rFonts w:hint="eastAsia" w:ascii="宋体" w:cs="宋体"/>
          <w:b/>
          <w:szCs w:val="21"/>
        </w:rPr>
        <w:t xml:space="preserve">联合体各方均应当符合政府采购法第二十二条第一款规定的</w:t>
      </w:r>
      <w:r>
        <w:rPr>
          <w:rFonts w:hint="eastAsia" w:ascii="宋体" w:cs="宋体"/>
          <w:b/>
        </w:rPr>
        <w:t xml:space="preserve">条件；采购人根据采购项目的特殊要求规定供应商特定条件的，联合体各方中至少应当有一方符合采购人规定的特定条件</w:t>
      </w:r>
      <w:r>
        <w:rPr>
          <w:rFonts w:hint="eastAsia" w:ascii="宋体" w:cs="宋体"/>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cs="宋体"/>
        </w:rPr>
      </w:r>
      <w:r/>
    </w:p>
    <w:p>
      <w:pPr>
        <w:pStyle w:val="1275"/>
        <w:ind w:firstLine="420"/>
        <w:spacing w:line="360" w:lineRule="auto"/>
        <w:rPr>
          <w:rFonts w:hint="eastAsia" w:ascii="宋体" w:cs="宋体"/>
        </w:rPr>
      </w:pPr>
      <w:r>
        <w:rPr>
          <w:rFonts w:hint="eastAsia" w:ascii="宋体" w:cs="宋体"/>
          <w:szCs w:val="21"/>
        </w:rPr>
        <w:t xml:space="preserve">9.4 </w:t>
      </w:r>
      <w:r>
        <w:rPr>
          <w:rFonts w:hint="eastAsia" w:ascii="宋体" w:cs="宋体"/>
        </w:rPr>
        <w:t xml:space="preserve">联合体各方之间应当签订联合体协议，明确约定联合体各方承担的工作和相应的责任，并将联合体协议连同响应文件一并提交。</w:t>
      </w:r>
      <w:r>
        <w:rPr>
          <w:rFonts w:hint="eastAsia" w:ascii="宋体" w:cs="宋体"/>
        </w:rPr>
      </w:r>
      <w:r/>
    </w:p>
    <w:p>
      <w:pPr>
        <w:pStyle w:val="1275"/>
        <w:ind w:firstLine="420"/>
        <w:spacing w:line="360" w:lineRule="auto"/>
        <w:shd w:val="clear" w:color="auto" w:fill="ffffff"/>
        <w:widowControl/>
        <w:rPr>
          <w:rFonts w:hint="eastAsia" w:ascii="宋体" w:cs="宋体"/>
        </w:rPr>
      </w:pPr>
      <w:r>
        <w:rPr>
          <w:rFonts w:hint="eastAsia" w:ascii="宋体" w:cs="宋体"/>
          <w:szCs w:val="21"/>
        </w:rPr>
        <w:t xml:space="preserve">9.5 </w:t>
      </w:r>
      <w:r>
        <w:rPr>
          <w:rFonts w:hint="eastAsia" w:ascii="宋体" w:cs="宋体"/>
        </w:rPr>
        <w:t xml:space="preserve">以联合体形式参加政府采购活动的，联合体各方不得再单独参加或者与其他供应商另外组成联合体参加同一合同项下的政府采购活动。</w:t>
      </w:r>
      <w:r>
        <w:rPr>
          <w:rFonts w:hint="eastAsia" w:ascii="宋体" w:cs="宋体"/>
        </w:rPr>
      </w:r>
      <w:r/>
    </w:p>
    <w:p>
      <w:pPr>
        <w:pStyle w:val="1278"/>
        <w:ind w:left="0" w:firstLine="422"/>
        <w:jc w:val="both"/>
        <w:spacing w:line="360" w:lineRule="auto"/>
        <w:tabs>
          <w:tab w:val="left" w:pos="480" w:leader="none"/>
        </w:tabs>
        <w:rPr>
          <w:rFonts w:hint="eastAsia" w:ascii="宋体" w:hAnsi="宋体" w:eastAsia="宋体" w:cs="宋体"/>
          <w:sz w:val="21"/>
          <w:szCs w:val="21"/>
        </w:rPr>
      </w:pPr>
      <w:r/>
      <w:bookmarkEnd w:id="101"/>
      <w:r/>
      <w:bookmarkStart w:id="106" w:name="_Toc22790"/>
      <w:r/>
      <w:bookmarkStart w:id="107" w:name="_Toc20016"/>
      <w:r/>
      <w:bookmarkStart w:id="108" w:name="_Toc9684"/>
      <w:r/>
      <w:bookmarkStart w:id="109" w:name="_Toc4036"/>
      <w:r>
        <w:rPr>
          <w:rFonts w:hint="eastAsia" w:ascii="宋体" w:hAnsi="宋体" w:eastAsia="宋体" w:cs="宋体"/>
          <w:b/>
          <w:bCs/>
          <w:sz w:val="21"/>
          <w:szCs w:val="21"/>
        </w:rPr>
        <w:t xml:space="preserve">10.投标文件的</w:t>
      </w:r>
      <w:bookmarkEnd w:id="106"/>
      <w:r>
        <w:rPr>
          <w:rFonts w:hint="eastAsia" w:ascii="宋体" w:hAnsi="宋体" w:eastAsia="宋体" w:cs="宋体"/>
          <w:b/>
          <w:bCs/>
          <w:sz w:val="21"/>
          <w:szCs w:val="21"/>
        </w:rPr>
        <w:t xml:space="preserve">组成</w:t>
      </w:r>
      <w:bookmarkEnd w:id="107"/>
      <w:r/>
      <w:bookmarkEnd w:id="108"/>
      <w:r/>
      <w:bookmarkEnd w:id="109"/>
      <w:r>
        <w:rPr>
          <w:rFonts w:hint="eastAsia" w:ascii="宋体" w:hAnsi="宋体" w:eastAsia="宋体" w:cs="宋体"/>
          <w:sz w:val="21"/>
          <w:szCs w:val="21"/>
        </w:rPr>
      </w:r>
      <w:r/>
    </w:p>
    <w:p>
      <w:pPr>
        <w:pStyle w:val="1275"/>
        <w:ind w:firstLine="420"/>
        <w:spacing w:line="440" w:lineRule="exact"/>
        <w:shd w:val="clear" w:color="auto" w:fill="ffffff"/>
        <w:widowControl/>
        <w:rPr>
          <w:rFonts w:hint="eastAsia" w:ascii="宋体" w:hAnsi="宋体" w:cs="宋体"/>
          <w:szCs w:val="21"/>
        </w:rPr>
      </w:pPr>
      <w:r/>
      <w:bookmarkStart w:id="110" w:name="_Toc12595"/>
      <w:r/>
      <w:bookmarkStart w:id="111" w:name="_Toc13514"/>
      <w:r/>
      <w:bookmarkStart w:id="112" w:name="_Toc23658"/>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275"/>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275"/>
        <w:ind w:firstLine="420"/>
        <w:spacing w:line="440" w:lineRule="exact"/>
        <w:shd w:val="clear" w:color="auto" w:fill="ffffff"/>
        <w:widowControl/>
        <w:rPr>
          <w:szCs w:val="21"/>
        </w:rPr>
      </w:pPr>
      <w:r>
        <w:rPr>
          <w:rFonts w:hint="eastAsia" w:ascii="宋体" w:hAnsi="宋体" w:cs="宋体"/>
          <w:szCs w:val="21"/>
        </w:rPr>
        <w:t xml:space="preserve">其他文件由供应商根据编制投标文件需要提供的其他相关文件。</w:t>
      </w:r>
      <w:r>
        <w:rPr>
          <w:szCs w:val="21"/>
        </w:rPr>
      </w:r>
      <w:r/>
    </w:p>
    <w:p>
      <w:pPr>
        <w:pStyle w:val="1275"/>
        <w:ind w:left="0" w:firstLine="422"/>
        <w:jc w:val="both"/>
        <w:spacing w:line="360" w:lineRule="auto"/>
        <w:tabs>
          <w:tab w:val="left" w:pos="480" w:leader="none"/>
        </w:tabs>
        <w:rPr>
          <w:rFonts w:hint="eastAsia" w:ascii="宋体" w:eastAsia="宋体" w:cs="宋体"/>
          <w:b/>
          <w:bCs/>
          <w:sz w:val="21"/>
          <w:szCs w:val="21"/>
        </w:rPr>
        <w:outlineLvl w:val="9"/>
      </w:pPr>
      <w:r/>
      <w:bookmarkStart w:id="113" w:name="_Toc6869"/>
      <w:r/>
      <w:bookmarkStart w:id="114" w:name="_Toc7947"/>
      <w:r>
        <w:rPr>
          <w:rFonts w:hint="eastAsia" w:ascii="宋体" w:eastAsia="宋体" w:cs="宋体"/>
          <w:b/>
          <w:bCs/>
          <w:sz w:val="21"/>
          <w:szCs w:val="21"/>
        </w:rPr>
        <w:t xml:space="preserve">供应商递交的投标（响应）文件，所有内容均应真实有效；供应商所提供的产品或服务，必须满足国家相关强制性规定要求(如 CCC 认证、计量器具生产许可证、医疗器械注册证、电器电子产品有害物质限制使用标识等) ， 由于供应商违反国家相关强制性规定给采购人造成损失，一切责任和后果均由供应商承担。</w:t>
      </w:r>
      <w:bookmarkEnd w:id="113"/>
      <w:r/>
      <w:bookmarkEnd w:id="114"/>
      <w:r>
        <w:rPr>
          <w:rFonts w:hint="eastAsia" w:ascii="宋体" w:eastAsia="宋体" w:cs="宋体"/>
          <w:b/>
          <w:bCs/>
          <w:sz w:val="21"/>
          <w:szCs w:val="21"/>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15" w:name="_Toc25800"/>
      <w:r>
        <w:rPr>
          <w:rFonts w:hint="eastAsia" w:ascii="宋体" w:eastAsia="宋体" w:cs="宋体"/>
          <w:b/>
          <w:bCs/>
          <w:sz w:val="21"/>
          <w:szCs w:val="21"/>
        </w:rPr>
        <w:t xml:space="preserve">11.投标保证金</w:t>
      </w:r>
      <w:bookmarkEnd w:id="110"/>
      <w:r/>
      <w:bookmarkEnd w:id="111"/>
      <w:r/>
      <w:bookmarkEnd w:id="112"/>
      <w:r>
        <w:rPr>
          <w:rFonts w:hint="eastAsia" w:ascii="宋体" w:eastAsia="宋体" w:cs="宋体"/>
          <w:b/>
          <w:bCs/>
          <w:sz w:val="21"/>
          <w:szCs w:val="21"/>
        </w:rPr>
        <w:t xml:space="preserve">（本项目不适用）</w:t>
      </w:r>
      <w:bookmarkEnd w:id="115"/>
      <w:r>
        <w:rPr>
          <w:rFonts w:hint="eastAsia" w:ascii="宋体" w:eastAsia="宋体" w:cs="宋体"/>
          <w:b/>
          <w:bCs/>
          <w:sz w:val="21"/>
          <w:szCs w:val="21"/>
        </w:rPr>
      </w:r>
      <w:r/>
    </w:p>
    <w:p>
      <w:pPr>
        <w:pStyle w:val="1275"/>
        <w:ind w:firstLine="420"/>
        <w:spacing w:line="360" w:lineRule="auto"/>
        <w:shd w:val="clear" w:color="auto" w:fill="ffffff"/>
        <w:widowControl/>
        <w:rPr>
          <w:rFonts w:hint="eastAsia" w:ascii="宋体" w:cs="宋体"/>
          <w:szCs w:val="21"/>
        </w:rPr>
      </w:pPr>
      <w:r/>
      <w:bookmarkStart w:id="116" w:name="_Toc31206"/>
      <w:r>
        <w:rPr>
          <w:rFonts w:hint="eastAsia" w:ascii="宋体" w:cs="宋体"/>
          <w:szCs w:val="21"/>
        </w:rPr>
        <w:t xml:space="preserve">11.1作为投标文件的一部分，</w:t>
      </w:r>
      <w:r>
        <w:rPr>
          <w:rFonts w:hint="eastAsia" w:ascii="宋体" w:cs="宋体"/>
        </w:rPr>
        <w:t xml:space="preserve">供应商</w:t>
      </w:r>
      <w:r>
        <w:rPr>
          <w:rFonts w:hint="eastAsia" w:ascii="宋体" w:cs="宋体"/>
          <w:szCs w:val="21"/>
        </w:rPr>
        <w:t xml:space="preserve">应按照招标文件要求的数额和办法交纳投标保证金；投标保证金有效期应当与投标有效期一致。</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投标保证金金额：</w:t>
      </w:r>
      <w:r>
        <w:rPr>
          <w:rFonts w:hint="eastAsia" w:ascii="宋体" w:cs="宋体"/>
          <w:b/>
          <w:bCs/>
          <w:szCs w:val="21"/>
        </w:rPr>
        <w:t xml:space="preserve">详见</w:t>
      </w:r>
      <w:r>
        <w:rPr>
          <w:rFonts w:hint="eastAsia" w:ascii="宋体" w:cs="宋体"/>
          <w:b/>
          <w:bCs/>
        </w:rPr>
        <w:t xml:space="preserve">投标人</w:t>
      </w:r>
      <w:r>
        <w:rPr>
          <w:rFonts w:hint="eastAsia" w:ascii="宋体" w:cs="宋体"/>
          <w:b/>
          <w:bCs/>
          <w:szCs w:val="21"/>
        </w:rPr>
        <w:t xml:space="preserve">须知前附表</w:t>
      </w:r>
      <w:r>
        <w:rPr>
          <w:rFonts w:hint="eastAsia" w:ascii="宋体" w:cs="宋体"/>
          <w:szCs w:val="21"/>
        </w:rPr>
        <w:t xml:space="preserve">。</w:t>
      </w:r>
      <w:r>
        <w:rPr>
          <w:rFonts w:hint="eastAsia" w:ascii="宋体" w:cs="宋体"/>
          <w:szCs w:val="21"/>
        </w:rPr>
      </w:r>
      <w:r/>
    </w:p>
    <w:p>
      <w:pPr>
        <w:pStyle w:val="1275"/>
        <w:ind w:firstLine="315"/>
        <w:jc w:val="left"/>
        <w:spacing w:line="360" w:lineRule="auto"/>
        <w:shd w:val="clear" w:color="auto" w:fill="ffffff"/>
        <w:widowControl/>
        <w:rPr>
          <w:rFonts w:hint="eastAsia" w:ascii="宋体" w:cs="宋体"/>
          <w:szCs w:val="21"/>
        </w:rPr>
      </w:pPr>
      <w:r>
        <w:rPr>
          <w:rFonts w:hint="eastAsia" w:ascii="宋体" w:cs="宋体"/>
          <w:szCs w:val="21"/>
        </w:rPr>
        <w:t xml:space="preserve">11.2保证金可采取下列形式之一：</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投标保证金应当以电汇、汇票、本票、转账支票等非现金形式提交，开户行在南京地区以外的供应商不接受支票或本票作为投标保证金。</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投标保证金收款单位信息如下：</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户名：江苏苏美达仪器设备有限公司</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开户银行：农行南京广州路支行        </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账户：10100301040003106</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11.3不按第11.1项和第11.2项规定办理的投标文件，将遭到采购代理机构的拒绝。</w:t>
      </w:r>
      <w:r>
        <w:rPr>
          <w:rFonts w:hint="eastAsia" w:ascii="宋体" w:cs="宋体"/>
          <w:szCs w:val="21"/>
        </w:rPr>
      </w:r>
      <w:r/>
    </w:p>
    <w:p>
      <w:pPr>
        <w:pStyle w:val="1275"/>
        <w:ind w:firstLine="420"/>
        <w:spacing w:line="360" w:lineRule="auto"/>
        <w:shd w:val="clear" w:color="auto" w:fill="ffffff"/>
        <w:widowControl/>
        <w:rPr>
          <w:rFonts w:hint="eastAsia" w:ascii="宋体" w:cs="宋体"/>
          <w:b/>
          <w:bCs/>
          <w:szCs w:val="21"/>
        </w:rPr>
      </w:pPr>
      <w:r>
        <w:rPr>
          <w:rFonts w:hint="eastAsia" w:ascii="宋体" w:cs="宋体"/>
          <w:b/>
          <w:bCs/>
          <w:szCs w:val="21"/>
        </w:rPr>
        <w:t xml:space="preserve">11.4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hint="eastAsia" w:ascii="宋体" w:cs="宋体"/>
          <w:b/>
          <w:bCs/>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11.5中标供应商的保证金将按要求缴纳招标代理服务费后在采购合同签订后五个工作日内退还。</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11.6发生下列情况之一，保证金将被没收：</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（1）中标供应商在中标后无正当理由不与采购人签订合同的；</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（2）</w:t>
      </w:r>
      <w:r>
        <w:rPr>
          <w:rFonts w:hint="eastAsia" w:ascii="宋体" w:cs="宋体"/>
          <w:szCs w:val="21"/>
          <w:lang w:val="zh-CN"/>
        </w:rPr>
        <w:t xml:space="preserve">投标有效期内撤回其投标的；</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（3）提供虚假材料谋取成交的；</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（4）采取不正当手段诋毁、排挤其他</w:t>
      </w:r>
      <w:r>
        <w:rPr>
          <w:rFonts w:hint="eastAsia" w:ascii="宋体" w:cs="宋体"/>
        </w:rPr>
        <w:t xml:space="preserve">供应商</w:t>
      </w:r>
      <w:r>
        <w:rPr>
          <w:rFonts w:hint="eastAsia" w:ascii="宋体" w:cs="宋体"/>
          <w:szCs w:val="21"/>
        </w:rPr>
        <w:t xml:space="preserve">的；</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（5）与采购人、采购代理机构或者其他</w:t>
      </w:r>
      <w:r>
        <w:rPr>
          <w:rFonts w:hint="eastAsia" w:ascii="宋体" w:cs="宋体"/>
        </w:rPr>
        <w:t xml:space="preserve">供应商</w:t>
      </w:r>
      <w:r>
        <w:rPr>
          <w:rFonts w:hint="eastAsia" w:ascii="宋体" w:cs="宋体"/>
          <w:szCs w:val="21"/>
        </w:rPr>
        <w:t xml:space="preserve">恶意串通的；</w:t>
      </w:r>
      <w:r>
        <w:rPr>
          <w:rFonts w:hint="eastAsia" w:ascii="宋体" w:cs="宋体"/>
          <w:szCs w:val="21"/>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（6）中标供应商在中标后将中标项目转让给他人，或者在投标文件中未说明，且未经采购人同意，将中标项目分包给他人的；</w:t>
      </w:r>
      <w:r>
        <w:rPr>
          <w:rFonts w:hint="eastAsia" w:ascii="宋体" w:cs="宋体"/>
          <w:szCs w:val="21"/>
        </w:rPr>
      </w:r>
      <w:r/>
    </w:p>
    <w:p>
      <w:pPr>
        <w:pStyle w:val="1275"/>
        <w:ind w:firstLine="420"/>
        <w:spacing w:line="360" w:lineRule="auto"/>
        <w:shd w:val="clear" w:color="auto" w:fill="ffffff"/>
        <w:widowControl/>
        <w:rPr>
          <w:rFonts w:hint="eastAsia" w:ascii="宋体" w:cs="宋体"/>
          <w:bCs/>
        </w:rPr>
      </w:pPr>
      <w:r>
        <w:rPr>
          <w:rFonts w:hint="eastAsia" w:ascii="宋体" w:cs="宋体"/>
          <w:szCs w:val="21"/>
        </w:rPr>
        <w:t xml:space="preserve">（7）中标供应商在中标后拒绝</w:t>
      </w:r>
      <w:r>
        <w:rPr>
          <w:rFonts w:hint="eastAsia" w:ascii="宋体" w:cs="宋体"/>
          <w:bCs/>
        </w:rPr>
        <w:t xml:space="preserve">履行合同义务的。</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17" w:name="_Toc5276"/>
      <w:r/>
      <w:bookmarkStart w:id="118" w:name="_Toc6905"/>
      <w:r/>
      <w:bookmarkStart w:id="119" w:name="_Toc20408"/>
      <w:r>
        <w:rPr>
          <w:rFonts w:hint="eastAsia" w:ascii="宋体" w:eastAsia="宋体" w:cs="宋体"/>
          <w:b/>
          <w:bCs/>
          <w:sz w:val="21"/>
          <w:szCs w:val="21"/>
        </w:rPr>
        <w:t xml:space="preserve">12.投标文件的有效期</w:t>
      </w:r>
      <w:bookmarkEnd w:id="116"/>
      <w:r/>
      <w:bookmarkEnd w:id="117"/>
      <w:r/>
      <w:bookmarkEnd w:id="118"/>
      <w:r/>
      <w:bookmarkEnd w:id="119"/>
      <w:r>
        <w:rPr>
          <w:rFonts w:hint="eastAsia" w:ascii="宋体" w:eastAsia="宋体" w:cs="宋体"/>
          <w:b/>
          <w:bCs/>
          <w:sz w:val="21"/>
          <w:szCs w:val="21"/>
        </w:rPr>
      </w:r>
      <w:r/>
    </w:p>
    <w:p>
      <w:pPr>
        <w:pStyle w:val="1275"/>
        <w:ind w:firstLine="420"/>
        <w:jc w:val="left"/>
        <w:spacing w:line="360" w:lineRule="auto"/>
        <w:rPr>
          <w:rFonts w:hint="eastAsia" w:ascii="宋体" w:cs="宋体"/>
          <w:bCs/>
        </w:rPr>
      </w:pPr>
      <w:r/>
      <w:bookmarkStart w:id="120" w:name="_Toc6811"/>
      <w:r>
        <w:rPr>
          <w:rFonts w:hint="eastAsia" w:ascii="宋体" w:cs="宋体"/>
          <w:bCs/>
        </w:rPr>
        <w:t xml:space="preserve">12.1自开标之日起90天内，投标文件应保持有效，有效期短于此规定的投标文件将视为无效。</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21" w:name="_Toc25832"/>
      <w:r/>
      <w:bookmarkStart w:id="122" w:name="_Toc11923"/>
      <w:r/>
      <w:bookmarkStart w:id="123" w:name="_Toc19999"/>
      <w:r>
        <w:rPr>
          <w:rFonts w:hint="eastAsia" w:ascii="宋体" w:eastAsia="宋体" w:cs="宋体"/>
          <w:b/>
          <w:bCs/>
          <w:sz w:val="21"/>
          <w:szCs w:val="21"/>
        </w:rPr>
        <w:t xml:space="preserve">13.投标文件的签署及其形式</w:t>
      </w:r>
      <w:bookmarkEnd w:id="120"/>
      <w:r/>
      <w:bookmarkEnd w:id="121"/>
      <w:r/>
      <w:bookmarkEnd w:id="122"/>
      <w:r/>
      <w:bookmarkEnd w:id="123"/>
      <w:r>
        <w:rPr>
          <w:rFonts w:hint="eastAsia" w:ascii="宋体" w:eastAsia="宋体" w:cs="宋体"/>
          <w:b/>
          <w:bCs/>
          <w:sz w:val="21"/>
          <w:szCs w:val="21"/>
        </w:rPr>
      </w:r>
      <w:r/>
    </w:p>
    <w:p>
      <w:pPr>
        <w:pStyle w:val="1275"/>
        <w:ind w:firstLine="420"/>
        <w:spacing w:line="360" w:lineRule="auto"/>
        <w:rPr>
          <w:rFonts w:hint="eastAsia" w:ascii="宋体" w:cs="宋体"/>
          <w:bCs/>
        </w:rPr>
      </w:pPr>
      <w:r/>
      <w:bookmarkStart w:id="124" w:name="_Toc27455"/>
      <w:r>
        <w:rPr>
          <w:rFonts w:hint="eastAsia" w:ascii="宋体" w:cs="宋体"/>
          <w:bCs/>
        </w:rPr>
        <w:t xml:space="preserve">13.1供应商应按本款下述规定以及供应商须知前附表规定的数量提交投标文件。每份投标文件均须在封面上清楚表明“正本”“副本”或“电子版”字样，如果它们之间有差异，则以正本为准。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13.2投标文件的正本应用打印机或不褪色墨水书写，且经法定代表人或授权代表签署，副本可以为正本的复印件。</w:t>
      </w:r>
      <w:r>
        <w:rPr>
          <w:rFonts w:hint="eastAsia" w:ascii="宋体" w:cs="宋体"/>
          <w:sz w:val="24"/>
        </w:rPr>
        <w:t xml:space="preserve"> </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cs="宋体"/>
          <w:bCs/>
        </w:rPr>
      </w:r>
      <w:r/>
    </w:p>
    <w:p>
      <w:pPr>
        <w:pStyle w:val="1275"/>
        <w:ind w:firstLine="420"/>
        <w:spacing w:line="360" w:lineRule="auto"/>
        <w:shd w:val="clear" w:color="auto" w:fill="ffffff"/>
        <w:widowControl/>
        <w:rPr>
          <w:rFonts w:hint="eastAsia" w:ascii="宋体" w:cs="宋体"/>
          <w:szCs w:val="21"/>
        </w:rPr>
      </w:pPr>
      <w:r>
        <w:rPr>
          <w:rFonts w:hint="eastAsia" w:ascii="宋体" w:cs="宋体"/>
          <w:bCs/>
        </w:rPr>
        <w:t xml:space="preserve">13.4</w:t>
      </w:r>
      <w:r>
        <w:rPr>
          <w:rFonts w:hint="eastAsia" w:ascii="宋体" w:cs="宋体"/>
          <w:szCs w:val="21"/>
        </w:rPr>
        <w:t xml:space="preserve">供应商应按照招标文件所规定的内容顺序，</w:t>
      </w:r>
      <w:r>
        <w:rPr>
          <w:rFonts w:hint="eastAsia" w:ascii="宋体" w:cs="宋体"/>
          <w:b/>
          <w:bCs/>
          <w:szCs w:val="21"/>
        </w:rPr>
        <w:t xml:space="preserve">统一用A4规格幅面打印（为节约资源，建议双面打印）、装订成册并编制目录，逐页编码</w:t>
      </w:r>
      <w:r>
        <w:rPr>
          <w:rFonts w:hint="eastAsia" w:ascii="宋体" w:cs="宋体"/>
          <w:szCs w:val="21"/>
        </w:rPr>
        <w:t xml:space="preserve">。由于编排混乱导致投标文件被误读或查找不到，责任由供应商承担。</w:t>
      </w:r>
      <w:r>
        <w:rPr>
          <w:rFonts w:hint="eastAsia" w:ascii="宋体" w:cs="宋体"/>
          <w:szCs w:val="21"/>
        </w:rPr>
      </w:r>
      <w:r/>
    </w:p>
    <w:p>
      <w:pPr>
        <w:pStyle w:val="1275"/>
        <w:ind w:firstLine="420"/>
        <w:spacing w:line="360" w:lineRule="auto"/>
        <w:shd w:val="clear" w:color="auto" w:fill="ffffff"/>
        <w:widowControl/>
        <w:rPr>
          <w:rFonts w:hint="eastAsia" w:ascii="宋体" w:cs="宋体"/>
          <w:b/>
          <w:bCs/>
          <w:sz w:val="24"/>
        </w:rPr>
        <w:outlineLvl w:val="1"/>
      </w:pPr>
      <w:r/>
      <w:bookmarkStart w:id="125" w:name="_Toc12441"/>
      <w:r/>
      <w:bookmarkStart w:id="126" w:name="_Toc6009"/>
      <w:r/>
      <w:bookmarkStart w:id="127" w:name="_Toc23989"/>
      <w:r>
        <w:rPr>
          <w:rFonts w:hint="eastAsia" w:ascii="宋体" w:cs="宋体"/>
          <w:b/>
          <w:bCs/>
          <w:sz w:val="24"/>
        </w:rPr>
        <w:t xml:space="preserve">四、投标文件的递交</w:t>
      </w:r>
      <w:bookmarkEnd w:id="124"/>
      <w:r/>
      <w:bookmarkEnd w:id="125"/>
      <w:r/>
      <w:bookmarkEnd w:id="126"/>
      <w:r/>
      <w:bookmarkEnd w:id="127"/>
      <w:r>
        <w:rPr>
          <w:rFonts w:hint="eastAsia" w:ascii="宋体" w:cs="宋体"/>
          <w:b/>
          <w:bCs/>
          <w:sz w:val="24"/>
        </w:rPr>
      </w:r>
      <w:r/>
    </w:p>
    <w:p>
      <w:pPr>
        <w:pStyle w:val="1278"/>
        <w:ind w:left="0" w:firstLine="422"/>
        <w:jc w:val="both"/>
        <w:spacing w:line="440" w:lineRule="exact"/>
        <w:tabs>
          <w:tab w:val="left" w:pos="480" w:leader="none"/>
        </w:tabs>
        <w:rPr>
          <w:rFonts w:ascii="Times New Roman" w:hAnsi="Times New Roman" w:eastAsia="宋体"/>
          <w:b/>
          <w:bCs/>
          <w:color w:val="000000"/>
          <w:sz w:val="21"/>
          <w:szCs w:val="21"/>
        </w:rPr>
      </w:pPr>
      <w:r/>
      <w:bookmarkStart w:id="128" w:name="_Toc15871"/>
      <w:r/>
      <w:bookmarkStart w:id="129" w:name="_Toc14201"/>
      <w:r/>
      <w:bookmarkStart w:id="130" w:name="_Toc11996"/>
      <w:r/>
      <w:bookmarkStart w:id="131" w:name="_Toc30020"/>
      <w:r/>
      <w:bookmarkStart w:id="132" w:name="_Toc23851"/>
      <w:r/>
      <w:bookmarkStart w:id="133" w:name="_Toc21766"/>
      <w:r/>
      <w:bookmarkStart w:id="134" w:name="_Toc2992"/>
      <w:r>
        <w:rPr>
          <w:rFonts w:hint="eastAsia" w:ascii="宋体" w:hAnsi="宋体" w:eastAsia="宋体" w:cs="宋体"/>
          <w:b/>
          <w:bCs/>
          <w:color w:val="000000"/>
          <w:sz w:val="21"/>
          <w:szCs w:val="21"/>
        </w:rPr>
        <w:t xml:space="preserve">14.投</w:t>
      </w:r>
      <w:r>
        <w:rPr>
          <w:rFonts w:ascii="Times New Roman" w:hAnsi="Times New Roman" w:eastAsia="宋体"/>
          <w:b/>
          <w:bCs/>
          <w:color w:val="000000"/>
          <w:sz w:val="21"/>
          <w:szCs w:val="21"/>
        </w:rPr>
        <w:t xml:space="preserve">标文件的密封及标记</w:t>
      </w:r>
      <w:bookmarkEnd w:id="128"/>
      <w:r/>
      <w:bookmarkEnd w:id="129"/>
      <w:r/>
      <w:bookmarkEnd w:id="130"/>
      <w:r/>
      <w:bookmarkEnd w:id="131"/>
      <w:r>
        <w:rPr>
          <w:rFonts w:ascii="Times New Roman" w:hAnsi="Times New Roman" w:eastAsia="宋体"/>
          <w:b/>
          <w:bCs/>
          <w:color w:val="000000"/>
          <w:sz w:val="21"/>
          <w:szCs w:val="21"/>
        </w:rPr>
      </w:r>
      <w:r/>
    </w:p>
    <w:p>
      <w:pPr>
        <w:pStyle w:val="1275"/>
        <w:ind w:firstLine="420"/>
        <w:spacing w:line="440" w:lineRule="exact"/>
        <w:rPr>
          <w:rFonts w:hint="eastAsia" w:ascii="宋体" w:hAnsi="宋体" w:cs="宋体"/>
          <w:b/>
          <w:sz w:val="30"/>
        </w:rPr>
      </w:pPr>
      <w:r>
        <w:rPr>
          <w:rFonts w:hint="eastAsia" w:ascii="宋体" w:hAnsi="宋体" w:cs="宋体"/>
          <w:bCs/>
          <w:szCs w:val="22"/>
        </w:rPr>
        <w:t xml:space="preserve">14.1</w:t>
      </w:r>
      <w:r>
        <w:rPr>
          <w:rFonts w:hint="eastAsia" w:ascii="宋体" w:hAnsi="宋体" w:cs="宋体"/>
        </w:rPr>
        <w:t xml:space="preserve">供应商</w:t>
      </w:r>
      <w:r>
        <w:rPr>
          <w:rFonts w:hint="eastAsia" w:ascii="宋体" w:hAnsi="宋体" w:cs="宋体"/>
          <w:bCs/>
        </w:rPr>
        <w:t xml:space="preserve">应分别把正本和副本及电子版投标文件都用封套加以密封，并标明“正本”和“副本”“电子版”。</w:t>
      </w:r>
      <w:r>
        <w:rPr>
          <w:rFonts w:hint="eastAsia" w:ascii="宋体" w:hAnsi="宋体" w:cs="宋体"/>
          <w:b/>
          <w:sz w:val="28"/>
          <w:szCs w:val="28"/>
        </w:rPr>
        <w:t xml:space="preserve"> </w:t>
      </w:r>
      <w:r>
        <w:rPr>
          <w:rFonts w:hint="eastAsia" w:ascii="宋体" w:hAnsi="宋体" w:cs="宋体"/>
          <w:b/>
          <w:sz w:val="30"/>
        </w:rPr>
      </w:r>
      <w:r/>
    </w:p>
    <w:p>
      <w:pPr>
        <w:pStyle w:val="1275"/>
        <w:ind w:firstLine="420"/>
        <w:spacing w:line="440" w:lineRule="exact"/>
        <w:rPr>
          <w:rFonts w:hint="eastAsia" w:ascii="宋体" w:hAnsi="宋体" w:cs="宋体"/>
          <w:bCs/>
        </w:rPr>
      </w:pPr>
      <w:r>
        <w:rPr>
          <w:rFonts w:hint="eastAsia" w:ascii="宋体" w:hAnsi="宋体" w:cs="宋体"/>
          <w:bCs/>
          <w:szCs w:val="22"/>
        </w:rPr>
        <w:t xml:space="preserve">14.2</w:t>
      </w:r>
      <w:r>
        <w:rPr>
          <w:rFonts w:hint="eastAsia" w:ascii="宋体" w:hAnsi="宋体" w:cs="宋体"/>
          <w:bCs/>
        </w:rPr>
        <w:t xml:space="preserve">作为投标保证金的银行本票、转账支票、汇票或电汇底单等非现金形式，另用内封套加以密封，并在内封套上注明“投标保证金”字样,放在投标文件正本封套之内。（本项目不适用）</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szCs w:val="22"/>
        </w:rPr>
        <w:t xml:space="preserve">14.3</w:t>
      </w:r>
      <w:r>
        <w:rPr>
          <w:rFonts w:hint="eastAsia" w:ascii="宋体" w:hAnsi="宋体" w:cs="宋体"/>
          <w:bCs/>
        </w:rPr>
        <w:t xml:space="preserve">外封套和内封套上均须按采购代理机构提供的格式写明：</w:t>
      </w:r>
      <w:r>
        <w:rPr>
          <w:rFonts w:hint="eastAsia" w:ascii="宋体" w:hAnsi="宋体" w:cs="宋体"/>
          <w:bCs/>
        </w:rPr>
      </w:r>
      <w:r/>
    </w:p>
    <w:p>
      <w:pPr>
        <w:pStyle w:val="1275"/>
        <w:numPr>
          <w:ilvl w:val="0"/>
          <w:numId w:val="2"/>
        </w:numPr>
        <w:ind w:firstLine="420"/>
        <w:spacing w:line="440" w:lineRule="exact"/>
        <w:tabs>
          <w:tab w:val="left" w:pos="600" w:leader="none"/>
        </w:tabs>
        <w:rPr>
          <w:rFonts w:hint="eastAsia" w:ascii="宋体" w:hAnsi="宋体" w:cs="宋体"/>
          <w:bCs/>
        </w:rPr>
      </w:pPr>
      <w:r>
        <w:rPr>
          <w:rFonts w:hint="eastAsia" w:ascii="宋体" w:hAnsi="宋体" w:cs="宋体"/>
          <w:bCs/>
        </w:rPr>
        <w:t xml:space="preserve">采购代理机构：江苏苏美达仪器设备有限公司</w:t>
      </w:r>
      <w:r>
        <w:rPr>
          <w:rFonts w:hint="eastAsia" w:ascii="宋体" w:hAnsi="宋体" w:cs="宋体"/>
          <w:bCs/>
        </w:rPr>
      </w:r>
      <w:r/>
    </w:p>
    <w:p>
      <w:pPr>
        <w:pStyle w:val="1275"/>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采购代理机构地址：南京市长江路198号</w:t>
      </w:r>
      <w:r>
        <w:rPr>
          <w:rFonts w:hint="eastAsia" w:ascii="宋体" w:hAnsi="宋体" w:cs="宋体"/>
          <w:bCs/>
          <w:color w:val="000000"/>
        </w:rPr>
      </w:r>
      <w:r/>
    </w:p>
    <w:p>
      <w:pPr>
        <w:pStyle w:val="1275"/>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招标文件编号：</w:t>
      </w:r>
      <w:r>
        <w:rPr>
          <w:rFonts w:hint="eastAsia" w:ascii="宋体" w:hAnsi="宋体" w:cs="宋体"/>
          <w:bCs/>
          <w:color w:val="000000"/>
        </w:rPr>
      </w:r>
      <w:r/>
    </w:p>
    <w:p>
      <w:pPr>
        <w:pStyle w:val="1275"/>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招标项目包号</w:t>
      </w:r>
      <w:r>
        <w:rPr>
          <w:rFonts w:hint="eastAsia" w:ascii="宋体" w:hAnsi="宋体" w:cs="宋体"/>
          <w:bCs/>
        </w:rPr>
        <w:t xml:space="preserve">（如有）</w:t>
      </w:r>
      <w:r>
        <w:rPr>
          <w:rFonts w:hint="eastAsia" w:ascii="宋体" w:hAnsi="宋体" w:cs="宋体"/>
          <w:bCs/>
          <w:color w:val="000000"/>
        </w:rPr>
        <w:t xml:space="preserve">：第    包</w:t>
      </w:r>
      <w:r>
        <w:rPr>
          <w:rFonts w:hint="eastAsia" w:ascii="宋体" w:hAnsi="宋体" w:cs="宋体"/>
          <w:bCs/>
          <w:color w:val="000000"/>
        </w:rPr>
      </w:r>
      <w:r/>
    </w:p>
    <w:p>
      <w:pPr>
        <w:pStyle w:val="1275"/>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招标项目名称：</w:t>
      </w:r>
      <w:r>
        <w:rPr>
          <w:rFonts w:hint="eastAsia" w:ascii="宋体" w:hAnsi="宋体" w:cs="宋体"/>
          <w:bCs/>
          <w:color w:val="000000"/>
        </w:rPr>
      </w:r>
      <w:r/>
    </w:p>
    <w:p>
      <w:pPr>
        <w:pStyle w:val="1275"/>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供应商的全称、地址、电话和传真。</w:t>
      </w:r>
      <w:r>
        <w:rPr>
          <w:rFonts w:hint="eastAsia" w:ascii="宋体" w:hAnsi="宋体" w:cs="宋体"/>
          <w:bCs/>
          <w:color w:val="000000"/>
        </w:rPr>
      </w:r>
      <w:r/>
    </w:p>
    <w:p>
      <w:pPr>
        <w:pStyle w:val="1275"/>
        <w:numPr>
          <w:ilvl w:val="0"/>
          <w:numId w:val="2"/>
        </w:numPr>
        <w:ind w:firstLine="420"/>
        <w:spacing w:line="360" w:lineRule="auto"/>
        <w:tabs>
          <w:tab w:val="left" w:pos="600" w:leader="none"/>
        </w:tabs>
        <w:rPr>
          <w:rFonts w:hint="eastAsia" w:ascii="宋体" w:hAnsi="宋体" w:cs="宋体"/>
          <w:bCs/>
          <w:color w:val="000000"/>
        </w:rPr>
      </w:pPr>
      <w:r>
        <w:rPr>
          <w:rFonts w:hint="eastAsia" w:ascii="宋体" w:hAnsi="宋体" w:cs="宋体"/>
          <w:bCs/>
          <w:color w:val="000000"/>
        </w:rPr>
        <w:t xml:space="preserve">写明开标时启封。</w:t>
      </w:r>
      <w:r>
        <w:rPr>
          <w:rFonts w:hint="eastAsia" w:ascii="宋体" w:hAnsi="宋体" w:cs="宋体"/>
          <w:bCs/>
          <w:color w:val="000000"/>
        </w:rPr>
      </w:r>
      <w:r/>
    </w:p>
    <w:p>
      <w:pPr>
        <w:pStyle w:val="1275"/>
        <w:ind w:firstLine="420"/>
        <w:spacing w:line="360" w:lineRule="auto"/>
        <w:rPr>
          <w:rFonts w:hint="eastAsia" w:ascii="宋体" w:hAnsi="宋体" w:cs="宋体"/>
          <w:bCs/>
        </w:rPr>
      </w:pPr>
      <w:r>
        <w:rPr>
          <w:rFonts w:hint="eastAsia" w:ascii="宋体" w:hAnsi="宋体" w:cs="宋体"/>
          <w:bCs/>
          <w:szCs w:val="22"/>
        </w:rPr>
        <w:t xml:space="preserve">14.4</w:t>
      </w:r>
      <w:r>
        <w:rPr>
          <w:rFonts w:hint="eastAsia" w:ascii="宋体" w:hAnsi="宋体" w:cs="宋体"/>
          <w:bCs/>
        </w:rPr>
        <w:t xml:space="preserve">投标文件未按上述规定密封者，采购</w:t>
      </w:r>
      <w:r>
        <w:rPr>
          <w:rFonts w:hint="eastAsia" w:ascii="宋体" w:hAnsi="宋体" w:cs="宋体"/>
          <w:szCs w:val="21"/>
          <w:lang w:val="zh-CN"/>
        </w:rPr>
        <w:t xml:space="preserve">代理机构对误投或过早启封概不负责。</w:t>
      </w:r>
      <w:r>
        <w:rPr>
          <w:rFonts w:hint="eastAsia" w:ascii="宋体" w:hAns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35" w:name="_Toc26514"/>
      <w:r>
        <w:rPr>
          <w:rFonts w:hint="eastAsia" w:ascii="宋体" w:eastAsia="宋体" w:cs="宋体"/>
          <w:b/>
          <w:bCs/>
          <w:sz w:val="21"/>
          <w:szCs w:val="21"/>
        </w:rPr>
        <w:t xml:space="preserve">15.投标的截止日期</w:t>
      </w:r>
      <w:bookmarkEnd w:id="132"/>
      <w:r/>
      <w:bookmarkEnd w:id="133"/>
      <w:r/>
      <w:bookmarkEnd w:id="134"/>
      <w:r/>
      <w:bookmarkEnd w:id="135"/>
      <w:r>
        <w:rPr>
          <w:rFonts w:hint="eastAsia" w:ascii="宋体" w:eastAsia="宋体" w:cs="宋体"/>
          <w:b/>
          <w:bCs/>
          <w:sz w:val="21"/>
          <w:szCs w:val="21"/>
        </w:rPr>
      </w:r>
      <w:r/>
    </w:p>
    <w:p>
      <w:pPr>
        <w:pStyle w:val="1275"/>
        <w:ind w:firstLine="420"/>
        <w:spacing w:line="360" w:lineRule="auto"/>
        <w:rPr>
          <w:rFonts w:hint="eastAsia" w:ascii="宋体" w:cs="宋体"/>
          <w:bCs/>
        </w:rPr>
      </w:pPr>
      <w:r/>
      <w:bookmarkStart w:id="136" w:name="_Toc32673"/>
      <w:r>
        <w:rPr>
          <w:rFonts w:hint="eastAsia" w:ascii="宋体" w:cs="宋体"/>
          <w:bCs/>
        </w:rPr>
        <w:t xml:space="preserve">15.1投标文件须在采购代理机构规定的投标截止时间前递交到指定地点。</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15.2采购代理机构可以按第7项的规定，以补充招标文件的形式推迟投标的截止时间，在这种情况下，采购代理机构或供应商的权利和义务都以新的截止时间为准。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15.3投标文件由于不可抗力的原因遗失和损坏，采购代理机构不负任何责任。</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End w:id="136"/>
      <w:r/>
      <w:bookmarkStart w:id="137" w:name="_Toc10963"/>
      <w:r/>
      <w:bookmarkStart w:id="138" w:name="_Toc14422"/>
      <w:r/>
      <w:bookmarkStart w:id="139" w:name="_Toc23284"/>
      <w:r/>
      <w:bookmarkStart w:id="140" w:name="_Toc29770"/>
      <w:r/>
      <w:bookmarkStart w:id="141" w:name="_Toc492"/>
      <w:r/>
      <w:bookmarkStart w:id="142" w:name="_Toc6201"/>
      <w:r>
        <w:rPr>
          <w:rFonts w:hint="eastAsia" w:ascii="宋体" w:eastAsia="宋体" w:cs="宋体"/>
          <w:b/>
          <w:bCs/>
          <w:sz w:val="21"/>
          <w:szCs w:val="21"/>
        </w:rPr>
        <w:t xml:space="preserve">16.</w:t>
      </w:r>
      <w:bookmarkEnd w:id="137"/>
      <w:r/>
      <w:bookmarkEnd w:id="138"/>
      <w:r>
        <w:rPr>
          <w:rFonts w:hint="eastAsia" w:ascii="宋体" w:eastAsia="宋体" w:cs="宋体"/>
          <w:b/>
          <w:bCs/>
          <w:sz w:val="21"/>
          <w:szCs w:val="21"/>
        </w:rPr>
        <w:t xml:space="preserve">迟交的投标文件</w:t>
      </w:r>
      <w:bookmarkEnd w:id="139"/>
      <w:r/>
      <w:bookmarkEnd w:id="140"/>
      <w:r/>
      <w:bookmarkEnd w:id="141"/>
      <w:r>
        <w:rPr>
          <w:rFonts w:hint="eastAsia" w:ascii="宋体" w:eastAsia="宋体" w:cs="宋体"/>
          <w:b/>
          <w:bCs/>
          <w:sz w:val="21"/>
          <w:szCs w:val="21"/>
        </w:rPr>
      </w:r>
      <w:r/>
    </w:p>
    <w:p>
      <w:pPr>
        <w:pStyle w:val="1275"/>
        <w:spacing w:line="360" w:lineRule="auto"/>
        <w:rPr>
          <w:rFonts w:hint="eastAsia" w:ascii="宋体" w:cs="宋体"/>
          <w:bCs/>
        </w:rPr>
      </w:pPr>
      <w:r>
        <w:rPr>
          <w:rFonts w:hint="eastAsia" w:ascii="宋体" w:cs="宋体"/>
          <w:bCs/>
        </w:rPr>
        <w:t xml:space="preserve">    在投标截止时间以后递交的投标文件，采购代理机构拒绝接收。</w:t>
      </w:r>
      <w:r>
        <w:rPr>
          <w:rFonts w:hint="eastAsia" w:ascii="宋体" w:cs="宋体"/>
          <w:bCs/>
        </w:rPr>
      </w:r>
      <w:r/>
    </w:p>
    <w:p>
      <w:pPr>
        <w:pStyle w:val="1278"/>
        <w:ind w:left="0" w:firstLine="422"/>
        <w:jc w:val="both"/>
        <w:spacing w:line="360" w:lineRule="auto"/>
        <w:tabs>
          <w:tab w:val="left" w:pos="480" w:leader="none"/>
        </w:tabs>
        <w:rPr>
          <w:rFonts w:hint="eastAsia" w:ascii="宋体" w:hAnsi="宋体" w:eastAsia="宋体" w:cs="宋体"/>
          <w:b/>
          <w:bCs/>
          <w:sz w:val="21"/>
          <w:szCs w:val="21"/>
        </w:rPr>
      </w:pPr>
      <w:r/>
      <w:bookmarkEnd w:id="142"/>
      <w:r/>
      <w:bookmarkStart w:id="143" w:name="_Toc13853"/>
      <w:r/>
      <w:bookmarkStart w:id="144" w:name="_Toc2665"/>
      <w:r/>
      <w:bookmarkStart w:id="145" w:name="_Toc27692"/>
      <w:r/>
      <w:bookmarkStart w:id="146" w:name="_Toc32211"/>
      <w:r/>
      <w:bookmarkStart w:id="147" w:name="_Toc19073"/>
      <w:r/>
      <w:bookmarkStart w:id="148" w:name="_Toc120614218"/>
      <w:r/>
      <w:bookmarkStart w:id="149" w:name="_Toc20823301"/>
      <w:r/>
      <w:bookmarkStart w:id="150" w:name="_Toc16938545"/>
      <w:r/>
      <w:bookmarkStart w:id="151" w:name="_Toc513029229"/>
      <w:r/>
      <w:bookmarkStart w:id="152" w:name="_Toc24233"/>
      <w:r>
        <w:rPr>
          <w:rFonts w:hint="eastAsia" w:ascii="宋体" w:hAnsi="宋体" w:eastAsia="宋体" w:cs="宋体"/>
          <w:b/>
          <w:bCs/>
          <w:sz w:val="21"/>
          <w:szCs w:val="21"/>
        </w:rPr>
        <w:t xml:space="preserve">17.投标文件的修改或撤回</w:t>
      </w:r>
      <w:bookmarkEnd w:id="143"/>
      <w:r/>
      <w:bookmarkEnd w:id="144"/>
      <w:r/>
      <w:bookmarkEnd w:id="145"/>
      <w:r/>
      <w:bookmarkEnd w:id="146"/>
      <w:r/>
      <w:bookmarkEnd w:id="147"/>
      <w:r>
        <w:rPr>
          <w:rFonts w:hint="eastAsia" w:ascii="宋体" w:hAnsi="宋体" w:eastAsia="宋体" w:cs="宋体"/>
          <w:b/>
          <w:bCs/>
          <w:sz w:val="21"/>
          <w:szCs w:val="21"/>
        </w:rPr>
      </w:r>
      <w:r/>
    </w:p>
    <w:p>
      <w:pPr>
        <w:pStyle w:val="1275"/>
        <w:ind w:firstLine="420"/>
        <w:spacing w:line="440" w:lineRule="exact"/>
        <w:rPr>
          <w:rFonts w:hint="eastAsia" w:ascii="宋体" w:hAnsi="宋体" w:cs="宋体"/>
          <w:bCs/>
        </w:rPr>
      </w:pPr>
      <w:r/>
      <w:bookmarkStart w:id="153" w:name="_Toc11257"/>
      <w:r/>
      <w:bookmarkStart w:id="154" w:name="_Toc29000"/>
      <w:r>
        <w:rPr>
          <w:rFonts w:hint="eastAsia" w:ascii="宋体" w:hAnsi="宋体" w:cs="宋体"/>
          <w:bCs/>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rPr>
        <w:t xml:space="preserve">17.2供应商的修改或撤回通知必须按第14项的规定并在封套上注明：“修改”或“撤回”字样封送给采购代理机构。</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rPr>
        <w:t xml:space="preserve">17.3供应商不得在投标截止时间以后修改投标文件。</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rPr>
        <w:t xml:space="preserve">17.4在投标截止时间起至投标有效期满前，任何投标文件不得撤回，在这段期间撤回投标文件，投标保证金将被没收。该供应商的投标文件不予退还。</w:t>
      </w:r>
      <w:r>
        <w:rPr>
          <w:rFonts w:hint="eastAsia" w:ascii="宋体" w:hAnsi="宋体" w:cs="宋体"/>
          <w:bCs/>
        </w:rPr>
      </w:r>
      <w:r/>
    </w:p>
    <w:p>
      <w:pPr>
        <w:pStyle w:val="1275"/>
        <w:ind w:firstLine="420"/>
        <w:spacing w:line="360" w:lineRule="auto"/>
        <w:shd w:val="clear" w:color="auto" w:fill="ffffff"/>
        <w:widowControl/>
        <w:rPr>
          <w:rFonts w:hint="eastAsia" w:ascii="宋体" w:cs="宋体"/>
          <w:b/>
          <w:bCs/>
          <w:sz w:val="24"/>
        </w:rPr>
        <w:outlineLvl w:val="1"/>
      </w:pPr>
      <w:r/>
      <w:bookmarkStart w:id="155" w:name="_Toc10120"/>
      <w:r>
        <w:rPr>
          <w:rFonts w:hint="eastAsia" w:ascii="宋体" w:cs="宋体"/>
          <w:b/>
          <w:bCs/>
          <w:sz w:val="24"/>
        </w:rPr>
        <w:t xml:space="preserve">五、开标与评标</w:t>
      </w:r>
      <w:bookmarkEnd w:id="148"/>
      <w:r/>
      <w:bookmarkEnd w:id="149"/>
      <w:r/>
      <w:bookmarkEnd w:id="150"/>
      <w:r/>
      <w:bookmarkEnd w:id="151"/>
      <w:r/>
      <w:bookmarkEnd w:id="152"/>
      <w:r/>
      <w:bookmarkEnd w:id="153"/>
      <w:r/>
      <w:bookmarkEnd w:id="154"/>
      <w:r/>
      <w:bookmarkEnd w:id="155"/>
      <w:r>
        <w:rPr>
          <w:rFonts w:hint="eastAsia" w:ascii="宋体" w:cs="宋体"/>
          <w:b/>
          <w:bCs/>
          <w:sz w:val="24"/>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56" w:name="_Toc19936"/>
      <w:r/>
      <w:bookmarkStart w:id="157" w:name="_Toc3679"/>
      <w:r/>
      <w:bookmarkStart w:id="158" w:name="_Toc13829"/>
      <w:r/>
      <w:bookmarkStart w:id="159" w:name="_Toc19919"/>
      <w:r/>
      <w:bookmarkStart w:id="160" w:name="_Toc15345"/>
      <w:r/>
      <w:bookmarkStart w:id="161" w:name="_Toc13075"/>
      <w:r/>
      <w:bookmarkStart w:id="162" w:name="_Toc6944"/>
      <w:r>
        <w:rPr>
          <w:rFonts w:hint="eastAsia" w:ascii="宋体" w:eastAsia="宋体" w:cs="宋体"/>
          <w:b/>
          <w:bCs/>
          <w:sz w:val="21"/>
          <w:szCs w:val="21"/>
        </w:rPr>
        <w:t xml:space="preserve">18.开标</w:t>
      </w:r>
      <w:bookmarkEnd w:id="156"/>
      <w:r/>
      <w:bookmarkEnd w:id="157"/>
      <w:r/>
      <w:bookmarkEnd w:id="158"/>
      <w:r/>
      <w:bookmarkEnd w:id="159"/>
      <w:r/>
      <w:bookmarkEnd w:id="160"/>
      <w:r/>
      <w:bookmarkEnd w:id="161"/>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18.1采购代理机构按招标文件规定的时间和地点开标，供应商应委派授权代表准时参加开标活动，签名报到和递交投标文件等事宜。</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18.2供应商必须在投标截止时间前签名报到、递交投标文件以及其他招标文件所规定的应在投标截止时间前完成的事项（如样品递交等）。</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18.4若投标文件未密封，采购代理机构将拒绝接受该供应商的投标文件。</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18.5供应商未参加开标的，视同认可开标结果。</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End w:id="162"/>
      <w:r/>
      <w:bookmarkStart w:id="163" w:name="_Toc7594"/>
      <w:r/>
      <w:bookmarkStart w:id="164" w:name="_Toc20928"/>
      <w:r/>
      <w:bookmarkStart w:id="165" w:name="_Toc5054"/>
      <w:r/>
      <w:bookmarkStart w:id="166" w:name="_Toc20823303"/>
      <w:r/>
      <w:bookmarkStart w:id="167" w:name="_Toc29284"/>
      <w:r/>
      <w:bookmarkStart w:id="168" w:name="_Toc16938547"/>
      <w:r/>
      <w:bookmarkStart w:id="169" w:name="_Toc513029231"/>
      <w:r>
        <w:rPr>
          <w:rFonts w:hint="eastAsia" w:ascii="宋体" w:eastAsia="宋体" w:cs="宋体"/>
          <w:b/>
          <w:bCs/>
          <w:sz w:val="21"/>
          <w:szCs w:val="21"/>
        </w:rPr>
        <w:t xml:space="preserve">19.评标组织</w:t>
      </w:r>
      <w:bookmarkEnd w:id="163"/>
      <w:r/>
      <w:bookmarkEnd w:id="164"/>
      <w:r/>
      <w:bookmarkEnd w:id="165"/>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19.1评标工作由采购代理机构负责组织，具体评标事务由依法组建的评标委员会负责，并独立履行下列职责：</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（1）审查、评价投标文件是否符合招标文件的商务、技术等实质性要求；</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（2）要求供应商对投标文件有关事项作出澄清或者说明；</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（3）对投标文件进行比较和评价；</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（4）确定中标候选人名单，以及根据采购人委托直接确定中标供应商；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（5）向采购人、采购代理机构或者有关部门报告评标中发现的违法行为。</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19.2评标委员会由采购人代表和有关技术、经济等方面的专家组成，独立开展评审工作且评标委员会人员构成符合有关规定。</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End w:id="166"/>
      <w:r/>
      <w:bookmarkEnd w:id="167"/>
      <w:r/>
      <w:bookmarkEnd w:id="168"/>
      <w:r/>
      <w:bookmarkEnd w:id="169"/>
      <w:r/>
      <w:bookmarkStart w:id="170" w:name="_Toc862"/>
      <w:r/>
      <w:bookmarkStart w:id="171" w:name="_Toc21772"/>
      <w:r/>
      <w:bookmarkStart w:id="172" w:name="_Toc28287"/>
      <w:r/>
      <w:bookmarkStart w:id="173" w:name="_Toc29190"/>
      <w:r/>
      <w:bookmarkStart w:id="174" w:name="_Toc26183"/>
      <w:r/>
      <w:bookmarkStart w:id="175" w:name="_Toc16496"/>
      <w:r>
        <w:rPr>
          <w:rFonts w:hint="eastAsia" w:ascii="宋体" w:eastAsia="宋体" w:cs="宋体"/>
          <w:b/>
          <w:bCs/>
          <w:sz w:val="21"/>
          <w:szCs w:val="21"/>
        </w:rPr>
        <w:t xml:space="preserve">20.</w:t>
      </w:r>
      <w:bookmarkEnd w:id="170"/>
      <w:r/>
      <w:bookmarkEnd w:id="171"/>
      <w:r>
        <w:rPr>
          <w:rFonts w:hint="eastAsia" w:ascii="宋体" w:eastAsia="宋体" w:cs="宋体"/>
          <w:b/>
          <w:bCs/>
          <w:sz w:val="21"/>
          <w:szCs w:val="21"/>
        </w:rPr>
        <w:t xml:space="preserve">对投标文件的资格性审查和符合性审查</w:t>
      </w:r>
      <w:bookmarkEnd w:id="172"/>
      <w:r/>
      <w:bookmarkEnd w:id="173"/>
      <w:r/>
      <w:bookmarkEnd w:id="174"/>
      <w:r>
        <w:rPr>
          <w:rFonts w:hint="eastAsia" w:ascii="宋体" w:eastAsia="宋体" w:cs="宋体"/>
          <w:b/>
          <w:bCs/>
          <w:sz w:val="21"/>
          <w:szCs w:val="21"/>
        </w:rPr>
      </w:r>
      <w:r/>
    </w:p>
    <w:p>
      <w:pPr>
        <w:pStyle w:val="1275"/>
        <w:ind w:firstLine="420"/>
        <w:spacing w:line="440" w:lineRule="exact"/>
        <w:rPr>
          <w:rFonts w:hint="eastAsia" w:ascii="宋体" w:hAnsi="宋体" w:cs="宋体"/>
          <w:bCs/>
        </w:rPr>
      </w:pPr>
      <w:r>
        <w:rPr>
          <w:rFonts w:hint="eastAsia" w:ascii="宋体" w:hAnsi="宋体" w:cs="宋体"/>
          <w:bCs/>
        </w:rPr>
        <w:t xml:space="preserve">20.1投标文件初审分为资格性审查和符合性审查。</w:t>
      </w:r>
      <w:r>
        <w:rPr>
          <w:rFonts w:hint="eastAsia" w:ascii="宋体" w:hAnsi="宋体" w:cs="宋体"/>
          <w:bCs/>
        </w:rPr>
      </w:r>
      <w:r/>
    </w:p>
    <w:p>
      <w:pPr>
        <w:pStyle w:val="1275"/>
        <w:ind w:firstLine="420"/>
        <w:spacing w:line="440" w:lineRule="exact"/>
        <w:rPr>
          <w:bCs/>
        </w:rPr>
      </w:pPr>
      <w:r>
        <w:rPr>
          <w:rFonts w:hint="eastAsia" w:ascii="宋体" w:hAnsi="宋体" w:cs="宋体"/>
          <w:bCs/>
        </w:rPr>
        <w:t xml:space="preserve">资格性审查</w:t>
      </w:r>
      <w:r>
        <w:rPr>
          <w:bCs/>
        </w:rPr>
        <w:t xml:space="preserve">：采购人或者采购代理机构依据法律法规和招标文件的规定，对投标文件中</w:t>
      </w:r>
      <w:r>
        <w:rPr>
          <w:b/>
        </w:rPr>
        <w:t xml:space="preserve">资格证明、投标保证金（如有）</w:t>
      </w:r>
      <w:r>
        <w:rPr>
          <w:bCs/>
        </w:rPr>
        <w:t xml:space="preserve">等进行审查，以确定供应商是否具备投标资格。</w:t>
      </w:r>
      <w:r>
        <w:rPr>
          <w:bCs/>
        </w:rPr>
      </w:r>
      <w:r/>
    </w:p>
    <w:p>
      <w:pPr>
        <w:pStyle w:val="1275"/>
        <w:ind w:firstLine="420"/>
        <w:spacing w:line="440" w:lineRule="exact"/>
        <w:rPr>
          <w:bCs/>
        </w:rPr>
      </w:pPr>
      <w:r>
        <w:rPr>
          <w:bCs/>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rPr>
      </w:r>
      <w:r/>
    </w:p>
    <w:p>
      <w:pPr>
        <w:pStyle w:val="1275"/>
        <w:ind w:firstLine="420"/>
        <w:spacing w:line="360" w:lineRule="auto"/>
        <w:rPr>
          <w:rFonts w:hint="eastAsia" w:ascii="宋体" w:cs="宋体"/>
          <w:bCs/>
        </w:rPr>
      </w:pPr>
      <w:r>
        <w:rPr>
          <w:rFonts w:hint="eastAsia" w:ascii="宋体" w:cs="宋体"/>
          <w:bCs/>
        </w:rPr>
        <w:t xml:space="preserve">20.2所谓偏离是指投标文件的内容高于或低于招标文件的相关要求。所谓重大负偏离是指供应商所投标的范围、质量、数量、配置要求和合同履行期限等明显不能满足招标文件的要求。重大负偏离的认定须经评标委员会三分之二以上同意。</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20.3评标委员会在初审中，对明显的文字和算术错误的修正原则如下：</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w:t>
      </w:r>
      <w:r>
        <w:rPr>
          <w:rFonts w:hint="eastAsia" w:ascii="宋体" w:cs="宋体"/>
          <w:b/>
        </w:rPr>
        <w:t xml:space="preserve">《开标一览表》（报价表）内容与投标文件中相应内容不一致的，以《开标一览表》（报价表）为准</w:t>
      </w:r>
      <w:r>
        <w:rPr>
          <w:rFonts w:hint="eastAsia" w:ascii="宋体" w:cs="宋体"/>
          <w:bCs/>
        </w:rPr>
        <w:t xml:space="preserve">；</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（2）投标文件的大写金额与小写金额不一致的，以大写金额为准；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（3）总价金额与单价金额不一致的，以单价金额计算结果为准；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（4）单价金额小数点有明显错位的，以总价金额为准，并修改单价金额；</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（5）对不同文字文本投标文件的解释发生异议的，以中文文本为准；如果正本投标文件和副本投标文件之间有差异，则以正本投标文件为准。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同时出现两种以上不一致的，按照前款规定的顺序修正。修正后的报价由法定代表人或其授权的代表签字确认后产生约束力，供应商不确认的，投标无效。</w:t>
      </w:r>
      <w:r>
        <w:rPr>
          <w:rFonts w:hint="eastAsia" w:ascii="宋体" w:cs="宋体"/>
          <w:bCs/>
        </w:rPr>
      </w:r>
      <w:r/>
    </w:p>
    <w:p>
      <w:pPr>
        <w:pStyle w:val="1275"/>
        <w:ind w:firstLine="422"/>
        <w:spacing w:line="360" w:lineRule="auto"/>
        <w:rPr>
          <w:rFonts w:hint="eastAsia" w:ascii="宋体" w:cs="宋体"/>
          <w:b/>
        </w:rPr>
      </w:pPr>
      <w:r>
        <w:rPr>
          <w:rFonts w:hint="eastAsia" w:ascii="宋体" w:cs="宋体"/>
          <w:b/>
        </w:rPr>
        <w:t xml:space="preserve">20.4投标文件有下列情况之一的，在符合性检查时按照无效投标处理：</w:t>
      </w:r>
      <w:r>
        <w:rPr>
          <w:rFonts w:hint="eastAsia" w:ascii="宋体" w:cs="宋体"/>
          <w:b/>
        </w:rPr>
      </w:r>
      <w:r/>
    </w:p>
    <w:p>
      <w:pPr>
        <w:pStyle w:val="1275"/>
        <w:ind w:firstLine="420"/>
        <w:spacing w:line="360" w:lineRule="auto"/>
        <w:rPr>
          <w:rFonts w:hint="eastAsia" w:ascii="宋体" w:cs="宋体"/>
          <w:bCs/>
        </w:rPr>
      </w:pPr>
      <w:r>
        <w:rPr>
          <w:rFonts w:hint="eastAsia" w:ascii="宋体" w:cs="宋体"/>
          <w:bCs/>
        </w:rPr>
        <w:t xml:space="preserve">（1）未按照招标文件规定要求密封、签署、盖章的；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（2）不同供应商的投标文件由同一单位或者个人编制；</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（3）不同供应商委托同一单位或者个人办理投标事宜；</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（4）不同供应商的投标文件载明的项目管理成员或者联系人员为同一人；</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（5）不同供应商的投标文件异常一致或者投标报价呈规律性差异；</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（6）不同供应商的投标文件相互混装；</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（7）不同供应商的投标保证金从同一单位或者个人的账户转出；（本项目不适用）</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（8）报价超过招标文件中规定的项目预算或者最高限价的；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（9）投标文件含有采购人不能接受的附加条件的；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（10）不同供应商的法定代表人或委托代理人有夫妻、直系血亲关系的；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（11）不同供应商的负责人为同一人或者存在控股、管理关系的；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（12）不同供应商的委托代理人(或法定代表人、项目经理、项目总监、项目负责人等)在采购文件发布日上月至投标截止日当月在同一单位缴纳社会保险的；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（13）法律、法规和招标文件规定的其他无效情形。</w:t>
      </w:r>
      <w:r>
        <w:rPr>
          <w:rFonts w:hint="eastAsia" w:ascii="宋体" w:cs="宋体"/>
          <w:bCs/>
        </w:rPr>
      </w:r>
      <w:r/>
    </w:p>
    <w:p>
      <w:pPr>
        <w:pStyle w:val="1275"/>
        <w:ind w:firstLine="422"/>
        <w:spacing w:line="360" w:lineRule="auto"/>
        <w:rPr>
          <w:rFonts w:hint="eastAsia" w:ascii="宋体" w:cs="宋体"/>
          <w:b/>
          <w:szCs w:val="21"/>
        </w:rPr>
      </w:pPr>
      <w:r>
        <w:rPr>
          <w:rFonts w:hint="eastAsia" w:ascii="宋体" w:cs="宋体"/>
          <w:b/>
        </w:rPr>
        <w:t xml:space="preserve">20.5招标文件中标注“★”的内容为实质性要求，有一项不符合的，作无效投标处理；标注“▲”的为重要参数；标注“★”及“▲”的内容，供应商必须在投标文件内提供技术支持资料（具体以第三章评标标准要求为准）。</w:t>
      </w:r>
      <w:r>
        <w:rPr>
          <w:rFonts w:hint="eastAsia" w:ascii="宋体" w:cs="宋体"/>
          <w:b/>
          <w:szCs w:val="21"/>
        </w:rPr>
      </w:r>
      <w:r/>
    </w:p>
    <w:p>
      <w:pPr>
        <w:pStyle w:val="1275"/>
        <w:ind w:firstLine="422"/>
        <w:spacing w:line="360" w:lineRule="auto"/>
        <w:rPr>
          <w:rFonts w:hint="eastAsia" w:ascii="宋体" w:cs="宋体"/>
          <w:b/>
        </w:rPr>
      </w:pPr>
      <w:r>
        <w:rPr>
          <w:rFonts w:hint="eastAsia" w:ascii="宋体" w:cs="宋体"/>
          <w:b/>
        </w:rPr>
        <w:t xml:space="preserve">20.6异常低价投标（响应）审查：</w:t>
      </w:r>
      <w:r>
        <w:rPr>
          <w:rFonts w:hint="eastAsia" w:ascii="宋体" w:cs="宋体"/>
          <w:b/>
        </w:rPr>
      </w:r>
      <w:r/>
    </w:p>
    <w:p>
      <w:pPr>
        <w:pStyle w:val="1275"/>
        <w:ind w:firstLine="420"/>
        <w:spacing w:line="360" w:lineRule="auto"/>
        <w:rPr>
          <w:rFonts w:hint="eastAsia" w:ascii="宋体" w:hAnsi="宋体" w:cs="宋体"/>
        </w:rPr>
      </w:pPr>
      <w:r>
        <w:rPr>
          <w:rFonts w:hint="eastAsia" w:ascii="宋体" w:hAnsi="宋体" w:cs="宋体"/>
        </w:rPr>
        <w:t xml:space="preserve">（1）评审过程中出现下列情形之一的，评审委员会应当启动异常低价投标（响应）审查程序：</w:t>
      </w:r>
      <w:r>
        <w:rPr>
          <w:rFonts w:hint="eastAsia" w:ascii="宋体" w:hAnsi="宋体" w:cs="宋体"/>
        </w:rPr>
      </w:r>
      <w:r/>
    </w:p>
    <w:p>
      <w:pPr>
        <w:pStyle w:val="1275"/>
        <w:ind w:firstLine="420"/>
        <w:spacing w:line="360" w:lineRule="auto"/>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rPr>
          <w:rFonts w:hint="eastAsia" w:ascii="宋体" w:hAnsi="宋体" w:cs="宋体"/>
        </w:rPr>
      </w:r>
      <w:r/>
    </w:p>
    <w:p>
      <w:pPr>
        <w:pStyle w:val="1275"/>
        <w:ind w:firstLine="420"/>
        <w:spacing w:line="360" w:lineRule="auto"/>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rPr>
          <w:rFonts w:ascii="宋体" w:hAnsi="宋体" w:cs="宋体"/>
        </w:rPr>
      </w:r>
      <w:r/>
    </w:p>
    <w:p>
      <w:pPr>
        <w:pStyle w:val="1275"/>
        <w:ind w:firstLine="420"/>
        <w:spacing w:line="360" w:lineRule="auto"/>
        <w:rPr>
          <w:rFonts w:ascii="宋体" w:hAnsi="宋体" w:cs="宋体"/>
        </w:rPr>
      </w:pPr>
      <w:r>
        <w:rPr>
          <w:rFonts w:hint="eastAsia" w:ascii="宋体" w:hAnsi="宋体" w:cs="宋体"/>
        </w:rPr>
        <w:t xml:space="preserve">3.投标（响应）报价低于采购项目最高限价45%的，即投标（响应）报价&lt;采购项目最高限价×45%；</w:t>
      </w:r>
      <w:r>
        <w:rPr>
          <w:rFonts w:ascii="宋体" w:hAnsi="宋体" w:cs="宋体"/>
        </w:rPr>
      </w:r>
      <w:r/>
    </w:p>
    <w:p>
      <w:pPr>
        <w:pStyle w:val="1275"/>
        <w:ind w:firstLine="420"/>
        <w:spacing w:line="360" w:lineRule="auto"/>
        <w:rPr>
          <w:rFonts w:ascii="Calibri" w:hAnsi="Calibri" w:cs="Calibri"/>
          <w:color w:val="000000"/>
          <w:szCs w:val="21"/>
        </w:rPr>
      </w:pPr>
      <w:r>
        <w:rPr>
          <w:rFonts w:hint="eastAsia" w:ascii="宋体" w:hAnsi="宋体" w:cs="宋体"/>
        </w:rPr>
        <w:t xml:space="preserve">4.评审委员会基于专业判断，认为供应商报价过低，有可能影响产品质量或者不能诚信履约的其他情形。</w:t>
      </w:r>
      <w:r>
        <w:rPr>
          <w:rFonts w:ascii="Calibri" w:hAnsi="Calibri" w:cs="Calibri"/>
          <w:color w:val="000000"/>
          <w:szCs w:val="21"/>
        </w:rPr>
      </w:r>
      <w:r/>
    </w:p>
    <w:p>
      <w:pPr>
        <w:pStyle w:val="1275"/>
        <w:ind w:firstLine="420"/>
        <w:spacing w:line="360" w:lineRule="auto"/>
        <w:rPr>
          <w:rFonts w:hint="eastAsia" w:ascii="宋体" w:hAnsi="宋体" w:cs="宋体"/>
        </w:rPr>
      </w:pPr>
      <w:r>
        <w:rPr>
          <w:rFonts w:hint="eastAsia" w:ascii="宋体" w:hAnsi="宋体" w:cs="宋体"/>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rPr>
      </w:r>
      <w:r/>
    </w:p>
    <w:p>
      <w:pPr>
        <w:pStyle w:val="1275"/>
        <w:ind w:firstLine="420"/>
        <w:spacing w:line="360" w:lineRule="auto"/>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1275"/>
        <w:ind w:firstLine="420"/>
        <w:spacing w:line="360" w:lineRule="auto"/>
        <w:rPr>
          <w:rFonts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rPr>
      </w:r>
      <w:r/>
    </w:p>
    <w:p>
      <w:pPr>
        <w:pStyle w:val="1275"/>
        <w:ind w:firstLine="420"/>
        <w:spacing w:line="360" w:lineRule="auto"/>
        <w:rPr>
          <w:rFonts w:hint="eastAsia" w:ascii="宋体" w:cs="宋体"/>
          <w:b/>
        </w:rPr>
      </w:pPr>
      <w:r>
        <w:rPr>
          <w:rFonts w:hint="eastAsia" w:ascii="宋体" w:hAnsi="宋体" w:cs="宋体"/>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cs="宋体"/>
          <w:b/>
        </w:rPr>
      </w:r>
      <w:r/>
    </w:p>
    <w:p>
      <w:pPr>
        <w:pStyle w:val="1275"/>
        <w:ind w:firstLine="422"/>
        <w:spacing w:line="360" w:lineRule="auto"/>
        <w:rPr>
          <w:rFonts w:hint="eastAsia" w:ascii="宋体" w:cs="宋体"/>
          <w:b/>
        </w:rPr>
      </w:pPr>
      <w:r/>
      <w:bookmarkEnd w:id="175"/>
      <w:r/>
      <w:bookmarkStart w:id="176" w:name="_Toc3193"/>
      <w:r/>
      <w:bookmarkStart w:id="177" w:name="_Toc12218"/>
      <w:r/>
      <w:bookmarkStart w:id="178" w:name="_Toc13685"/>
      <w:r>
        <w:rPr>
          <w:rFonts w:hint="eastAsia" w:ascii="宋体" w:cs="宋体"/>
          <w:b/>
        </w:rPr>
        <w:t xml:space="preserve">20.7评标委员会在评标时只能依据招标文件规定的办法进行评审,不得寻求外部的证据。</w:t>
      </w:r>
      <w:r>
        <w:rPr>
          <w:rFonts w:hint="eastAsia" w:ascii="宋体" w:cs="宋体"/>
          <w:b/>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79" w:name="_Toc21952"/>
      <w:r>
        <w:rPr>
          <w:rFonts w:hint="eastAsia" w:ascii="宋体" w:eastAsia="宋体" w:cs="宋体"/>
          <w:b/>
          <w:bCs/>
          <w:sz w:val="21"/>
          <w:szCs w:val="21"/>
        </w:rPr>
        <w:t xml:space="preserve">21.投标文件的澄清</w:t>
      </w:r>
      <w:bookmarkEnd w:id="176"/>
      <w:r/>
      <w:bookmarkEnd w:id="177"/>
      <w:r/>
      <w:bookmarkEnd w:id="179"/>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80" w:name="_Toc12818"/>
      <w:r/>
      <w:bookmarkStart w:id="181" w:name="_Toc17417"/>
      <w:r>
        <w:rPr>
          <w:rFonts w:hint="eastAsia" w:ascii="宋体" w:eastAsia="宋体" w:cs="宋体"/>
          <w:b/>
          <w:bCs/>
          <w:sz w:val="21"/>
          <w:szCs w:val="21"/>
        </w:rPr>
        <w:t xml:space="preserve">22.对投标文件的详细评审</w:t>
      </w:r>
      <w:bookmarkEnd w:id="180"/>
      <w:r/>
      <w:bookmarkEnd w:id="181"/>
      <w:r>
        <w:rPr>
          <w:rFonts w:hint="eastAsia" w:ascii="宋体" w:eastAsia="宋体" w:cs="宋体"/>
          <w:b/>
          <w:bCs/>
          <w:sz w:val="21"/>
          <w:szCs w:val="21"/>
        </w:rPr>
      </w:r>
      <w:r/>
    </w:p>
    <w:p>
      <w:pPr>
        <w:pStyle w:val="1275"/>
        <w:ind w:firstLine="420"/>
        <w:spacing w:line="360" w:lineRule="auto"/>
        <w:rPr>
          <w:rFonts w:hint="eastAsia" w:ascii="宋体" w:cs="宋体"/>
          <w:szCs w:val="21"/>
        </w:rPr>
      </w:pPr>
      <w:r>
        <w:rPr>
          <w:rFonts w:hint="eastAsia" w:ascii="宋体" w:cs="宋体"/>
          <w:bCs/>
        </w:rPr>
        <w:t xml:space="preserve">22.1</w:t>
      </w:r>
      <w:r>
        <w:rPr>
          <w:rFonts w:hint="eastAsia" w:asci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cs="宋体"/>
          <w:bCs/>
        </w:rPr>
        <w:t xml:space="preserve">取技术分最高者；均相同时，由</w:t>
      </w:r>
      <w:r>
        <w:rPr>
          <w:rFonts w:hint="eastAsia" w:ascii="宋体" w:cs="宋体"/>
          <w:szCs w:val="21"/>
        </w:rPr>
        <w:t xml:space="preserve">评标委员会</w:t>
      </w:r>
      <w:r>
        <w:rPr>
          <w:rFonts w:hint="eastAsia" w:ascii="宋体" w:cs="宋体"/>
          <w:bCs/>
        </w:rPr>
        <w:t xml:space="preserve">集体决定</w:t>
      </w:r>
      <w:r>
        <w:rPr>
          <w:rFonts w:hint="eastAsia" w:ascii="宋体" w:cs="宋体"/>
          <w:szCs w:val="21"/>
        </w:rPr>
        <w:t xml:space="preserve">一个供应商获得中标供应商推荐资格，或采取随机抽取方式确定，其他同品牌供应商不作为中标候选人。</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cs="宋体"/>
          <w:szCs w:val="21"/>
        </w:rPr>
      </w:r>
      <w:r/>
    </w:p>
    <w:p>
      <w:pPr>
        <w:pStyle w:val="1275"/>
        <w:ind w:firstLine="420"/>
        <w:spacing w:line="360" w:lineRule="auto"/>
        <w:rPr>
          <w:rFonts w:hint="eastAsia" w:ascii="宋体" w:cs="宋体"/>
          <w:bCs/>
        </w:rPr>
      </w:pPr>
      <w:r>
        <w:rPr>
          <w:rFonts w:hint="eastAsia" w:ascii="宋体" w:cs="宋体"/>
          <w:bCs/>
        </w:rPr>
        <w:t xml:space="preserve">22.2评标委员会应当按照招标文件中规定的评标方法和标准，对符合性审查合格的投标文件进行商务和技术评估，综合比较与评价。</w:t>
      </w:r>
      <w:r>
        <w:rPr>
          <w:rFonts w:hint="eastAsia" w:ascii="宋体" w:cs="宋体"/>
          <w:bCs/>
        </w:rPr>
      </w:r>
      <w:r/>
    </w:p>
    <w:p>
      <w:pPr>
        <w:pStyle w:val="1275"/>
        <w:ind w:firstLine="420"/>
        <w:spacing w:line="360" w:lineRule="auto"/>
        <w:rPr>
          <w:rFonts w:hint="eastAsia" w:ascii="宋体" w:cs="宋体"/>
          <w:bCs/>
        </w:rPr>
      </w:pPr>
      <w:r>
        <w:rPr>
          <w:rFonts w:hint="eastAsia" w:ascii="宋体" w:cs="宋体"/>
          <w:bCs/>
          <w:szCs w:val="22"/>
        </w:rPr>
        <w:t xml:space="preserve">22.3除评标方法和评标标准另有规定外，评标</w:t>
      </w:r>
      <w:r>
        <w:rPr>
          <w:rFonts w:hint="eastAsia" w:ascii="宋体" w:cs="宋体"/>
          <w:bCs/>
        </w:rPr>
        <w:t xml:space="preserve">采用综合评分法。即投标文件满足招标文件全部实质性要求，且按照评审因素的量化指标评审得分最高的供应商为中标候选供应商的评标方法。</w:t>
      </w:r>
      <w:r>
        <w:rPr>
          <w:rFonts w:hint="eastAsia" w:ascii="宋体" w:cs="宋体"/>
          <w:bCs/>
        </w:rPr>
      </w:r>
      <w:r/>
    </w:p>
    <w:p>
      <w:pPr>
        <w:pStyle w:val="1275"/>
        <w:ind w:firstLine="420"/>
        <w:spacing w:line="360" w:lineRule="auto"/>
        <w:rPr>
          <w:rFonts w:hint="eastAsia" w:ascii="宋体" w:cs="宋体"/>
          <w:bCs/>
        </w:rPr>
      </w:pPr>
      <w:r>
        <w:rPr>
          <w:rFonts w:hint="eastAsia" w:ascii="宋体" w:cs="宋体"/>
          <w:bCs/>
          <w:szCs w:val="22"/>
        </w:rPr>
        <w:t xml:space="preserve">22.4</w:t>
      </w:r>
      <w:r>
        <w:rPr>
          <w:rFonts w:hint="eastAsia" w:ascii="宋体" w:cs="宋体"/>
          <w:bCs/>
        </w:rPr>
        <w:t xml:space="preserve">评审因素包括投标报价、技术或者服务水平、履约能力、售后服务等</w:t>
      </w:r>
      <w:r>
        <w:rPr>
          <w:rFonts w:hint="eastAsia" w:ascii="宋体" w:cs="宋体"/>
          <w:bCs/>
        </w:rPr>
      </w:r>
      <w:r/>
    </w:p>
    <w:p>
      <w:pPr>
        <w:pStyle w:val="1275"/>
        <w:ind w:firstLine="420"/>
        <w:spacing w:line="360" w:lineRule="auto"/>
        <w:rPr>
          <w:rFonts w:hint="eastAsia" w:ascii="宋体" w:cs="宋体"/>
          <w:bCs/>
        </w:rPr>
      </w:pPr>
      <w:r>
        <w:rPr>
          <w:rFonts w:hint="eastAsia" w:ascii="宋体" w:cs="宋体"/>
          <w:bCs/>
          <w:szCs w:val="22"/>
        </w:rPr>
        <w:t xml:space="preserve">22.5</w:t>
      </w:r>
      <w:r>
        <w:rPr>
          <w:rFonts w:hint="eastAsia" w:ascii="宋体" w:cs="宋体"/>
          <w:bCs/>
        </w:rPr>
        <w:t xml:space="preserve">评标标准详见文件第三章。</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End w:id="178"/>
      <w:r/>
      <w:bookmarkStart w:id="182" w:name="_Toc29604"/>
      <w:r/>
      <w:bookmarkStart w:id="183" w:name="_Toc3196"/>
      <w:r/>
      <w:bookmarkStart w:id="184" w:name="_Toc12358"/>
      <w:r/>
      <w:bookmarkStart w:id="185" w:name="_Toc28875"/>
      <w:r/>
      <w:bookmarkStart w:id="186" w:name="_Toc11583"/>
      <w:r/>
      <w:bookmarkStart w:id="187" w:name="_Toc26838"/>
      <w:r>
        <w:rPr>
          <w:rFonts w:hint="eastAsia" w:ascii="宋体" w:eastAsia="宋体" w:cs="宋体"/>
          <w:b/>
          <w:bCs/>
          <w:sz w:val="21"/>
          <w:szCs w:val="21"/>
        </w:rPr>
        <w:t xml:space="preserve">23.评标过程的保密与公正</w:t>
      </w:r>
      <w:bookmarkEnd w:id="182"/>
      <w:r/>
      <w:bookmarkEnd w:id="183"/>
      <w:r/>
      <w:bookmarkEnd w:id="184"/>
      <w:r/>
      <w:bookmarkEnd w:id="185"/>
      <w:r/>
      <w:bookmarkEnd w:id="186"/>
      <w:r>
        <w:rPr>
          <w:rFonts w:hint="eastAsia" w:ascii="宋体" w:eastAsia="宋体" w:cs="宋体"/>
          <w:b/>
          <w:bCs/>
          <w:sz w:val="21"/>
          <w:szCs w:val="21"/>
        </w:rPr>
      </w:r>
      <w:r/>
    </w:p>
    <w:p>
      <w:pPr>
        <w:pStyle w:val="1275"/>
        <w:ind w:firstLine="420"/>
        <w:spacing w:line="360" w:lineRule="auto"/>
        <w:rPr>
          <w:rFonts w:hint="eastAsia" w:ascii="宋体" w:cs="宋体"/>
          <w:bCs/>
        </w:rPr>
      </w:pPr>
      <w:r/>
      <w:bookmarkEnd w:id="187"/>
      <w:r/>
      <w:bookmarkStart w:id="188" w:name="_Toc30824"/>
      <w:r/>
      <w:bookmarkStart w:id="189" w:name="_Toc26041"/>
      <w:r/>
      <w:bookmarkStart w:id="190" w:name="_Toc18327"/>
      <w:r>
        <w:rPr>
          <w:rFonts w:hint="eastAsia" w:ascii="宋体" w:cs="宋体"/>
          <w:bCs/>
          <w:szCs w:val="22"/>
        </w:rPr>
        <w:t xml:space="preserve">23.1</w:t>
      </w:r>
      <w:r>
        <w:rPr>
          <w:rFonts w:hint="eastAsia" w:ascii="宋体" w:cs="宋体"/>
          <w:bCs/>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cs="宋体"/>
          <w:bCs/>
        </w:rPr>
      </w:r>
      <w:r/>
    </w:p>
    <w:p>
      <w:pPr>
        <w:pStyle w:val="1275"/>
        <w:ind w:firstLine="420"/>
        <w:spacing w:line="360" w:lineRule="auto"/>
        <w:rPr>
          <w:rFonts w:hint="eastAsia" w:ascii="宋体" w:cs="宋体"/>
          <w:bCs/>
        </w:rPr>
      </w:pPr>
      <w:r>
        <w:rPr>
          <w:rFonts w:hint="eastAsia" w:ascii="宋体" w:cs="宋体"/>
          <w:bCs/>
          <w:szCs w:val="22"/>
        </w:rPr>
        <w:t xml:space="preserve">23.2</w:t>
      </w:r>
      <w:r>
        <w:rPr>
          <w:rFonts w:hint="eastAsia" w:ascii="宋体" w:cs="宋体"/>
          <w:bCs/>
        </w:rPr>
        <w:t xml:space="preserve">在评标过程中，供应商不得以任何行为影响评标过程，否则其投标文件将被作为无效投标文件。</w:t>
      </w:r>
      <w:r>
        <w:rPr>
          <w:rFonts w:hint="eastAsia" w:ascii="宋体" w:cs="宋体"/>
          <w:bCs/>
        </w:rPr>
      </w:r>
      <w:r/>
    </w:p>
    <w:p>
      <w:pPr>
        <w:pStyle w:val="1275"/>
        <w:ind w:firstLine="420"/>
        <w:spacing w:line="360" w:lineRule="auto"/>
        <w:rPr>
          <w:rFonts w:hint="eastAsia" w:ascii="宋体" w:cs="宋体"/>
          <w:bCs/>
        </w:rPr>
      </w:pPr>
      <w:r>
        <w:rPr>
          <w:rFonts w:hint="eastAsia" w:ascii="宋体" w:cs="宋体"/>
          <w:bCs/>
          <w:szCs w:val="22"/>
        </w:rPr>
        <w:t xml:space="preserve">23.3 </w:t>
      </w:r>
      <w:r>
        <w:rPr>
          <w:rFonts w:hint="eastAsia" w:ascii="宋体" w:cs="宋体"/>
          <w:bCs/>
        </w:rPr>
        <w:t xml:space="preserve">采购代理机构和评标委员会不得向落标的供应商解释未中标原因，也不公布评标过程中的相关细节。</w:t>
      </w:r>
      <w:r>
        <w:rPr>
          <w:rFonts w:hint="eastAsia" w:ascii="宋体" w:cs="宋体"/>
          <w:bCs/>
        </w:rPr>
      </w:r>
      <w:r/>
    </w:p>
    <w:p>
      <w:pPr>
        <w:pStyle w:val="1275"/>
        <w:ind w:firstLine="420"/>
        <w:spacing w:line="360" w:lineRule="auto"/>
        <w:rPr>
          <w:rFonts w:hint="eastAsia" w:ascii="宋体" w:cs="宋体"/>
          <w:bCs/>
        </w:rPr>
      </w:pPr>
      <w:r>
        <w:rPr>
          <w:rFonts w:hint="eastAsia" w:ascii="宋体" w:cs="宋体"/>
          <w:bCs/>
          <w:szCs w:val="22"/>
        </w:rPr>
        <w:t xml:space="preserve">23.4</w:t>
      </w:r>
      <w:r>
        <w:rPr>
          <w:rFonts w:hint="eastAsia" w:ascii="宋体" w:cs="宋体"/>
          <w:bCs/>
        </w:rPr>
        <w:t xml:space="preserve"> 在评标期间，采购代理机构将指定联络员与供应商进行联络。</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91" w:name="_Toc24008"/>
      <w:r/>
      <w:bookmarkStart w:id="192" w:name="_Toc17678"/>
      <w:r/>
      <w:bookmarkStart w:id="193" w:name="_Toc22233"/>
      <w:r>
        <w:rPr>
          <w:rFonts w:hint="eastAsia" w:ascii="宋体" w:eastAsia="宋体" w:cs="宋体"/>
          <w:b/>
          <w:bCs/>
          <w:sz w:val="21"/>
          <w:szCs w:val="21"/>
        </w:rPr>
        <w:t xml:space="preserve">24.无效投标条款和废标条款</w:t>
      </w:r>
      <w:bookmarkEnd w:id="188"/>
      <w:r/>
      <w:bookmarkEnd w:id="189"/>
      <w:r/>
      <w:bookmarkEnd w:id="191"/>
      <w:r/>
      <w:bookmarkEnd w:id="192"/>
      <w:r/>
      <w:bookmarkEnd w:id="193"/>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24.1无效投标条款</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（1）未按要求交纳投标保证金的；（本项目不适用）</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（2）未按照招标文件规定要求密封、签署、盖章的；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（3）供应商在报价时采用选择性报价；</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（4）供应商不具备招标文件中规定资格要求的；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（5）供应商的报价超过了采购预算的；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（6）未通过符合性检查的；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（7）不符合招标文件中规定的其他实质性要求和条件的；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（8）其他法律、法规及本招标文件规定的属无效投标的情形。</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24.2废标条款：</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（1）符合专业条件的供应商或者对招标文件作实质响应的供应商不足三家的；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（2）出现影响采购公正的违法、违规行为的；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（3）因重大变故，采购任务取消的；</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（4）评标委员会认定投标文件存在歧义、重大缺陷导致评审工作无法进行的，或者招标文件内容违反国家有关强制性规定的。</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194" w:name="_Toc16843"/>
      <w:r/>
      <w:bookmarkStart w:id="195" w:name="_Toc32421"/>
      <w:r/>
      <w:bookmarkStart w:id="196" w:name="_Toc26122"/>
      <w:r>
        <w:rPr>
          <w:rFonts w:hint="eastAsia" w:ascii="宋体" w:eastAsia="宋体" w:cs="宋体"/>
          <w:b/>
          <w:bCs/>
          <w:sz w:val="21"/>
          <w:szCs w:val="21"/>
        </w:rPr>
        <w:t xml:space="preserve">25.投标截止时间结束参加投标的供应商不足三家的处理</w:t>
      </w:r>
      <w:bookmarkEnd w:id="194"/>
      <w:r/>
      <w:bookmarkEnd w:id="195"/>
      <w:r/>
      <w:bookmarkEnd w:id="196"/>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25.3供应商若不接受采购方式的改变，应在规定的时间内书面向评标委员会说明，未在规定时间内提交书面说明的视为接受采购方式的改变。</w:t>
      </w:r>
      <w:r>
        <w:rPr>
          <w:rFonts w:hint="eastAsia" w:ascii="宋体" w:cs="宋体"/>
          <w:bCs/>
        </w:rPr>
      </w:r>
      <w:r/>
    </w:p>
    <w:p>
      <w:pPr>
        <w:pStyle w:val="1275"/>
        <w:ind w:firstLine="420"/>
        <w:spacing w:line="360" w:lineRule="auto"/>
        <w:shd w:val="clear" w:color="auto" w:fill="ffffff"/>
        <w:widowControl/>
        <w:rPr>
          <w:rFonts w:hint="eastAsia" w:ascii="宋体" w:cs="宋体"/>
          <w:b/>
          <w:bCs/>
          <w:sz w:val="24"/>
        </w:rPr>
        <w:outlineLvl w:val="1"/>
      </w:pPr>
      <w:r/>
      <w:bookmarkStart w:id="197" w:name="_Toc8443"/>
      <w:r/>
      <w:bookmarkStart w:id="198" w:name="_Toc19503"/>
      <w:r/>
      <w:bookmarkStart w:id="199" w:name="_Toc8554"/>
      <w:r>
        <w:rPr>
          <w:rFonts w:hint="eastAsia" w:ascii="宋体" w:cs="宋体"/>
          <w:b/>
          <w:bCs/>
          <w:sz w:val="24"/>
        </w:rPr>
        <w:t xml:space="preserve">六、授标</w:t>
      </w:r>
      <w:bookmarkEnd w:id="190"/>
      <w:r/>
      <w:bookmarkEnd w:id="197"/>
      <w:r/>
      <w:bookmarkEnd w:id="198"/>
      <w:r/>
      <w:bookmarkEnd w:id="199"/>
      <w:r>
        <w:rPr>
          <w:rFonts w:hint="eastAsia" w:ascii="宋体" w:cs="宋体"/>
          <w:b/>
          <w:bCs/>
          <w:sz w:val="24"/>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200" w:name="_Toc28693"/>
      <w:r/>
      <w:bookmarkStart w:id="201" w:name="_Toc26865"/>
      <w:r/>
      <w:bookmarkStart w:id="202" w:name="_Toc14949"/>
      <w:r/>
      <w:bookmarkStart w:id="203" w:name="_Toc19870"/>
      <w:r>
        <w:rPr>
          <w:rFonts w:hint="eastAsia" w:ascii="宋体" w:eastAsia="宋体" w:cs="宋体"/>
          <w:b/>
          <w:bCs/>
          <w:sz w:val="21"/>
          <w:szCs w:val="21"/>
        </w:rPr>
        <w:t xml:space="preserve">26.确定中标</w:t>
      </w:r>
      <w:bookmarkEnd w:id="200"/>
      <w:r>
        <w:rPr>
          <w:rFonts w:hint="eastAsia" w:ascii="宋体" w:eastAsia="宋体" w:cs="宋体"/>
          <w:b/>
          <w:bCs/>
          <w:sz w:val="21"/>
          <w:szCs w:val="21"/>
        </w:rPr>
        <w:t xml:space="preserve">供应商</w:t>
      </w:r>
      <w:bookmarkEnd w:id="201"/>
      <w:r/>
      <w:bookmarkEnd w:id="202"/>
      <w:r/>
      <w:bookmarkEnd w:id="203"/>
      <w:r>
        <w:rPr>
          <w:rFonts w:hint="eastAsia" w:ascii="宋体" w:eastAsia="宋体" w:cs="宋体"/>
          <w:b/>
          <w:bCs/>
          <w:sz w:val="21"/>
          <w:szCs w:val="21"/>
        </w:rPr>
      </w:r>
      <w:r/>
    </w:p>
    <w:p>
      <w:pPr>
        <w:pStyle w:val="1275"/>
        <w:ind w:firstLine="420"/>
        <w:spacing w:line="360" w:lineRule="auto"/>
        <w:rPr>
          <w:rFonts w:hint="eastAsia" w:ascii="宋体" w:cs="宋体"/>
        </w:rPr>
      </w:pPr>
      <w:r/>
      <w:bookmarkStart w:id="204" w:name="_Toc7377"/>
      <w:r>
        <w:rPr>
          <w:rFonts w:hint="eastAsia" w:asci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rPr>
      </w:r>
      <w:r/>
    </w:p>
    <w:p>
      <w:pPr>
        <w:pStyle w:val="1275"/>
        <w:ind w:firstLine="420"/>
        <w:spacing w:line="360" w:lineRule="auto"/>
        <w:shd w:val="clear" w:color="auto" w:fill="ffffff"/>
        <w:widowControl/>
        <w:rPr>
          <w:rFonts w:hint="eastAsia" w:ascii="宋体" w:cs="宋体"/>
          <w:szCs w:val="21"/>
        </w:rPr>
      </w:pPr>
      <w:r>
        <w:rPr>
          <w:rFonts w:hint="eastAsia" w:ascii="宋体" w:cs="宋体"/>
          <w:szCs w:val="21"/>
        </w:rPr>
        <w:t xml:space="preserve">26.2 采购人应根据评标委员会推荐的中标候选供应商确定中标供应商。</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26.3评标委员会根据全体评标成员签字的原始评标记录和评标结果编写评标报告。</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26.6 若评标委员会发现供应商的投标文件中有弄虚作假行为，则该供应商将失去中标资格。</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26.7 所有投标文件都将作为档案保存，不论中标与否，代理机构均不退回。</w:t>
      </w:r>
      <w:r>
        <w:rPr>
          <w:rFonts w:hint="eastAsia" w:ascii="宋体" w:cs="宋体"/>
          <w:szCs w:val="21"/>
        </w:rPr>
      </w:r>
      <w:r/>
    </w:p>
    <w:p>
      <w:pPr>
        <w:pStyle w:val="1278"/>
        <w:ind w:left="0" w:firstLine="422"/>
        <w:jc w:val="both"/>
        <w:spacing w:line="360" w:lineRule="auto"/>
        <w:tabs>
          <w:tab w:val="left" w:pos="480" w:leader="none"/>
        </w:tabs>
        <w:rPr>
          <w:rFonts w:hint="eastAsia" w:ascii="宋体" w:eastAsia="宋体" w:cs="宋体"/>
          <w:b/>
          <w:bCs/>
          <w:sz w:val="21"/>
          <w:szCs w:val="21"/>
        </w:rPr>
      </w:pPr>
      <w:r/>
      <w:bookmarkEnd w:id="204"/>
      <w:r/>
      <w:bookmarkStart w:id="205" w:name="_Toc27888"/>
      <w:r/>
      <w:bookmarkStart w:id="206" w:name="_Toc32182"/>
      <w:r/>
      <w:bookmarkStart w:id="207" w:name="_Toc19713"/>
      <w:r/>
      <w:bookmarkStart w:id="208" w:name="_Toc21169"/>
      <w:r/>
      <w:bookmarkStart w:id="209" w:name="_Toc2792"/>
      <w:r/>
      <w:bookmarkStart w:id="210" w:name="_Toc8826"/>
      <w:r/>
      <w:bookmarkStart w:id="211" w:name="_Toc4684"/>
      <w:r>
        <w:rPr>
          <w:rFonts w:hint="eastAsia" w:ascii="宋体" w:eastAsia="宋体" w:cs="宋体"/>
          <w:b/>
          <w:bCs/>
          <w:sz w:val="21"/>
          <w:szCs w:val="21"/>
        </w:rPr>
        <w:t xml:space="preserve">27.中标的通知</w:t>
      </w:r>
      <w:bookmarkEnd w:id="205"/>
      <w:r/>
      <w:bookmarkEnd w:id="206"/>
      <w:r/>
      <w:bookmarkEnd w:id="207"/>
      <w:r/>
      <w:bookmarkEnd w:id="208"/>
      <w:r/>
      <w:bookmarkEnd w:id="209"/>
      <w:r/>
      <w:bookmarkEnd w:id="210"/>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27.1定标后，采购代理机构将定标结果通知所有的供应商，并向中标供应商发出中标通知书。</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27.2中标供应商在收到中标通知书后，应郑重保证履行中标供应商应履行的，含招标代理服务费在内的一切义务和责任。</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27.3中标通知书是合同的组成部分。</w:t>
      </w:r>
      <w:r>
        <w:rPr>
          <w:rFonts w:hint="eastAsia" w:ascii="宋体" w:cs="宋体"/>
          <w:bCs/>
        </w:rPr>
      </w:r>
      <w:r/>
    </w:p>
    <w:p>
      <w:pPr>
        <w:pStyle w:val="1278"/>
        <w:ind w:left="0" w:firstLine="422"/>
        <w:jc w:val="both"/>
        <w:spacing w:line="360" w:lineRule="auto"/>
        <w:tabs>
          <w:tab w:val="left" w:pos="480" w:leader="none"/>
        </w:tabs>
        <w:rPr>
          <w:rFonts w:hint="eastAsia" w:ascii="宋体" w:eastAsia="宋体" w:cs="宋体"/>
          <w:b/>
          <w:bCs/>
          <w:sz w:val="24"/>
        </w:rPr>
      </w:pPr>
      <w:r/>
      <w:bookmarkEnd w:id="211"/>
      <w:r/>
      <w:bookmarkStart w:id="212" w:name="_Toc2049"/>
      <w:r/>
      <w:bookmarkStart w:id="213" w:name="_Toc15484"/>
      <w:r/>
      <w:bookmarkStart w:id="214" w:name="_Toc30763"/>
      <w:r/>
      <w:bookmarkStart w:id="215" w:name="_Toc8246"/>
      <w:r/>
      <w:bookmarkStart w:id="216" w:name="_Toc31275"/>
      <w:r/>
      <w:bookmarkStart w:id="217" w:name="_Toc24788"/>
      <w:r>
        <w:rPr>
          <w:rFonts w:hint="eastAsia" w:ascii="宋体" w:eastAsia="宋体" w:cs="宋体"/>
          <w:b/>
          <w:bCs/>
          <w:sz w:val="21"/>
          <w:szCs w:val="21"/>
        </w:rPr>
        <w:t xml:space="preserve">28.签订合同</w:t>
      </w:r>
      <w:bookmarkEnd w:id="212"/>
      <w:r/>
      <w:bookmarkEnd w:id="213"/>
      <w:r/>
      <w:bookmarkEnd w:id="214"/>
      <w:r/>
      <w:bookmarkEnd w:id="215"/>
      <w:r/>
      <w:bookmarkEnd w:id="216"/>
      <w:r>
        <w:rPr>
          <w:rFonts w:hint="eastAsia" w:ascii="宋体" w:eastAsia="宋体" w:cs="宋体"/>
          <w:b/>
          <w:bCs/>
          <w:sz w:val="24"/>
        </w:rPr>
      </w:r>
      <w:r/>
    </w:p>
    <w:p>
      <w:pPr>
        <w:pStyle w:val="1275"/>
        <w:ind w:firstLine="420"/>
        <w:spacing w:line="440" w:lineRule="exact"/>
        <w:rPr>
          <w:rFonts w:hint="eastAsia" w:ascii="宋体" w:hAnsi="宋体" w:cs="宋体"/>
          <w:bCs/>
        </w:rPr>
      </w:pPr>
      <w:r/>
      <w:bookmarkEnd w:id="217"/>
      <w:r/>
      <w:bookmarkStart w:id="218" w:name="_Toc22298"/>
      <w:r/>
      <w:bookmarkStart w:id="219" w:name="_Toc13535"/>
      <w:r/>
      <w:bookmarkStart w:id="220" w:name="_Toc15509"/>
      <w:r/>
      <w:bookmarkStart w:id="221" w:name="_Toc7777"/>
      <w:r/>
      <w:bookmarkStart w:id="222" w:name="_Toc20112"/>
      <w:r>
        <w:rPr>
          <w:rFonts w:hint="eastAsia" w:ascii="宋体" w:hAnsi="宋体" w:cs="宋体"/>
          <w:bCs/>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rPr>
        <w:t xml:space="preserve">28.2招标文件、中标供应商的投标文件及评标过程中有关澄清、说明或者补正文件均应作为合同附件。</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rPr>
        <w:t xml:space="preserve">28.3若中标供应商未能按规定签约，中标将被撤销及投标保证金被没收，在这种情况下采购人可以另选中标供应商或重新招标。</w:t>
      </w:r>
      <w:r>
        <w:rPr>
          <w:rFonts w:hint="eastAsia" w:ascii="宋体" w:hAnsi="宋体" w:cs="宋体"/>
          <w:bCs/>
        </w:rPr>
      </w:r>
      <w:r/>
    </w:p>
    <w:p>
      <w:pPr>
        <w:pStyle w:val="1275"/>
        <w:ind w:firstLine="420"/>
        <w:spacing w:line="440" w:lineRule="exact"/>
        <w:rPr>
          <w:rFonts w:hint="eastAsia" w:ascii="宋体" w:hAnsi="宋体" w:cs="宋体"/>
          <w:bCs/>
        </w:rPr>
      </w:pPr>
      <w:r>
        <w:rPr>
          <w:rFonts w:hint="eastAsia" w:ascii="宋体" w:hAnsi="宋体" w:cs="宋体"/>
          <w:bCs/>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rPr>
      </w:r>
      <w:r/>
    </w:p>
    <w:p>
      <w:pPr>
        <w:pStyle w:val="1278"/>
        <w:numPr>
          <w:ilvl w:val="0"/>
          <w:numId w:val="3"/>
        </w:numPr>
        <w:ind w:left="0" w:firstLine="422"/>
        <w:jc w:val="both"/>
        <w:spacing w:line="360" w:lineRule="auto"/>
        <w:tabs>
          <w:tab w:val="left" w:pos="480" w:leader="none"/>
        </w:tabs>
        <w:rPr>
          <w:rFonts w:hint="eastAsia" w:ascii="宋体" w:eastAsia="宋体" w:cs="宋体"/>
          <w:b/>
          <w:bCs/>
          <w:sz w:val="21"/>
          <w:szCs w:val="21"/>
        </w:rPr>
      </w:pPr>
      <w:r/>
      <w:bookmarkEnd w:id="218"/>
      <w:r/>
      <w:bookmarkStart w:id="223" w:name="_Toc2104"/>
      <w:r>
        <w:rPr>
          <w:rFonts w:hint="eastAsia" w:ascii="宋体" w:eastAsia="宋体" w:cs="宋体"/>
          <w:b/>
          <w:bCs/>
          <w:sz w:val="21"/>
          <w:szCs w:val="21"/>
        </w:rPr>
        <w:t xml:space="preserve">招标代理服务费</w:t>
      </w:r>
      <w:bookmarkEnd w:id="219"/>
      <w:r/>
      <w:bookmarkEnd w:id="220"/>
      <w:r/>
      <w:bookmarkEnd w:id="221"/>
      <w:r/>
      <w:bookmarkEnd w:id="223"/>
      <w:r>
        <w:rPr>
          <w:rFonts w:hint="eastAsia" w:ascii="宋体" w:eastAsia="宋体" w:cs="宋体"/>
          <w:b/>
          <w:bCs/>
          <w:sz w:val="21"/>
          <w:szCs w:val="21"/>
        </w:rPr>
      </w:r>
      <w:r/>
    </w:p>
    <w:p>
      <w:pPr>
        <w:pStyle w:val="1275"/>
        <w:ind w:firstLine="420"/>
        <w:spacing w:line="440" w:lineRule="exact"/>
        <w:shd w:val="clear" w:color="auto" w:fill="ffffff"/>
        <w:widowControl/>
        <w:rPr>
          <w:rFonts w:hint="eastAsia"/>
        </w:rPr>
      </w:pPr>
      <w:r>
        <w:rPr>
          <w:bCs/>
        </w:rPr>
        <w:t xml:space="preserve">详见投标人须知前附表。</w:t>
      </w:r>
      <w:r>
        <w:rPr>
          <w:rFonts w:hint="eastAsia"/>
        </w:rPr>
      </w:r>
      <w:r/>
    </w:p>
    <w:p>
      <w:pPr>
        <w:pStyle w:val="1275"/>
        <w:ind w:firstLine="241"/>
        <w:spacing w:line="360" w:lineRule="auto"/>
        <w:shd w:val="clear" w:color="auto" w:fill="ffffff"/>
        <w:widowControl/>
        <w:rPr>
          <w:rFonts w:hint="eastAsia" w:ascii="宋体" w:cs="宋体"/>
          <w:b/>
          <w:bCs/>
          <w:sz w:val="24"/>
        </w:rPr>
        <w:outlineLvl w:val="1"/>
      </w:pPr>
      <w:r/>
      <w:bookmarkStart w:id="224" w:name="_Toc14206"/>
      <w:r/>
      <w:bookmarkStart w:id="225" w:name="_Toc12762"/>
      <w:r/>
      <w:bookmarkStart w:id="226" w:name="_Toc5858"/>
      <w:r>
        <w:rPr>
          <w:rFonts w:hint="eastAsia" w:ascii="宋体" w:cs="宋体"/>
          <w:b/>
          <w:bCs/>
          <w:sz w:val="24"/>
        </w:rPr>
        <w:t xml:space="preserve">七、质疑</w:t>
      </w:r>
      <w:bookmarkEnd w:id="222"/>
      <w:r/>
      <w:bookmarkEnd w:id="224"/>
      <w:r/>
      <w:bookmarkEnd w:id="225"/>
      <w:r/>
      <w:bookmarkEnd w:id="226"/>
      <w:r>
        <w:rPr>
          <w:rFonts w:hint="eastAsia" w:ascii="宋体" w:cs="宋体"/>
          <w:b/>
          <w:bCs/>
          <w:sz w:val="24"/>
        </w:rPr>
      </w:r>
      <w:r/>
    </w:p>
    <w:p>
      <w:pPr>
        <w:pStyle w:val="1278"/>
        <w:ind w:left="0" w:firstLine="422"/>
        <w:jc w:val="both"/>
        <w:spacing w:line="360" w:lineRule="auto"/>
        <w:tabs>
          <w:tab w:val="left" w:pos="480" w:leader="none"/>
        </w:tabs>
        <w:rPr>
          <w:rFonts w:hint="eastAsia" w:ascii="宋体" w:eastAsia="宋体" w:cs="宋体"/>
          <w:b/>
          <w:bCs/>
          <w:sz w:val="21"/>
          <w:szCs w:val="21"/>
        </w:rPr>
      </w:pPr>
      <w:r/>
      <w:bookmarkStart w:id="227" w:name="_Toc29529"/>
      <w:r/>
      <w:bookmarkStart w:id="228" w:name="_Toc19917"/>
      <w:r/>
      <w:bookmarkStart w:id="229" w:name="_Toc16085"/>
      <w:r/>
      <w:bookmarkStart w:id="230" w:name="_Toc18135"/>
      <w:r/>
      <w:bookmarkStart w:id="231" w:name="_Toc29403"/>
      <w:r/>
      <w:bookmarkStart w:id="232" w:name="_Toc6118"/>
      <w:r>
        <w:rPr>
          <w:rFonts w:hint="eastAsia" w:ascii="宋体" w:eastAsia="宋体" w:cs="宋体"/>
          <w:b/>
          <w:bCs/>
          <w:sz w:val="21"/>
          <w:szCs w:val="21"/>
        </w:rPr>
        <w:t xml:space="preserve">30.质疑</w:t>
      </w:r>
      <w:bookmarkEnd w:id="227"/>
      <w:r/>
      <w:bookmarkEnd w:id="228"/>
      <w:r/>
      <w:bookmarkEnd w:id="229"/>
      <w:r/>
      <w:bookmarkEnd w:id="230"/>
      <w:r/>
      <w:bookmarkEnd w:id="231"/>
      <w:r/>
      <w:bookmarkEnd w:id="232"/>
      <w:r>
        <w:rPr>
          <w:rFonts w:hint="eastAsia" w:ascii="宋体" w:eastAsia="宋体" w:cs="宋体"/>
          <w:b/>
          <w:bCs/>
          <w:sz w:val="21"/>
          <w:szCs w:val="21"/>
        </w:rPr>
      </w:r>
      <w:r/>
    </w:p>
    <w:p>
      <w:pPr>
        <w:pStyle w:val="1275"/>
        <w:ind w:firstLine="420"/>
        <w:spacing w:line="360" w:lineRule="auto"/>
        <w:rPr>
          <w:rFonts w:hint="eastAsia" w:ascii="宋体" w:cs="宋体"/>
          <w:bCs/>
        </w:rPr>
      </w:pPr>
      <w:r>
        <w:rPr>
          <w:rFonts w:hint="eastAsia" w:ascii="宋体" w:cs="宋体"/>
          <w:bCs/>
        </w:rPr>
        <w:t xml:space="preserve">30.1 供应商对招标活动事项有疑问的，可以向采购代理机构提出询问，采购代理机构将依法作出答复，但答复的内容不涉及商业秘密。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30.2 供应商认为采购文件、采购过程和中标结果使自己的合法权益受到损害的，可以在知道或者应当知道其权益受到损害之日起七个工作日内，将质疑函以</w:t>
      </w:r>
      <w:r>
        <w:rPr>
          <w:rFonts w:hint="eastAsia" w:ascii="宋体" w:cs="宋体"/>
          <w:b/>
        </w:rPr>
        <w:t xml:space="preserve">书面形式（原件）</w:t>
      </w:r>
      <w:r>
        <w:rPr>
          <w:rFonts w:hint="eastAsia" w:ascii="宋体" w:cs="宋体"/>
          <w:bCs/>
        </w:rPr>
        <w:t xml:space="preserve">送达代理机构，质疑期外提出的质疑，采购代理机构将不予受理。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30.3供应商须在法定质疑期内</w:t>
      </w:r>
      <w:r>
        <w:rPr>
          <w:rFonts w:hint="eastAsia" w:ascii="宋体" w:cs="宋体"/>
          <w:b/>
        </w:rPr>
        <w:t xml:space="preserve">一次性提出</w:t>
      </w:r>
      <w:r>
        <w:rPr>
          <w:rFonts w:hint="eastAsia" w:ascii="宋体" w:cs="宋体"/>
          <w:bCs/>
        </w:rPr>
        <w:t xml:space="preserve">针对本项目同一采购程序环节的质疑。</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30.5质疑供应商若对项目的某一分包进行质疑，质疑函中应列明具体分包号。</w:t>
      </w:r>
      <w:r>
        <w:rPr>
          <w:rFonts w:hint="eastAsia" w:ascii="宋体" w:cs="宋体"/>
          <w:bCs/>
        </w:rPr>
      </w:r>
      <w:r/>
    </w:p>
    <w:p>
      <w:pPr>
        <w:pStyle w:val="1275"/>
        <w:ind w:firstLine="409"/>
        <w:spacing w:line="360" w:lineRule="auto"/>
        <w:rPr>
          <w:rFonts w:hint="eastAsia" w:ascii="宋体" w:cs="宋体"/>
          <w:bCs/>
        </w:rPr>
      </w:pPr>
      <w:r>
        <w:rPr>
          <w:rFonts w:hint="eastAsia" w:ascii="宋体" w:cs="宋体"/>
          <w:bCs/>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（1）供应商的姓名或者名称、地址、邮编、联系人及联系电话；</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（2）质疑项目的名称、编号；</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（3）具体、明确的质疑事项和与质疑事项相关的请求；</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（4）事实依据；</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（5）必要的法律依据</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（6）提出质疑的日期</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为中标或者成交结果公告期限届满之日。</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cs="宋体"/>
          <w:bCs/>
        </w:rPr>
      </w:r>
      <w:r/>
    </w:p>
    <w:p>
      <w:pPr>
        <w:pStyle w:val="1275"/>
        <w:ind w:firstLine="420"/>
        <w:spacing w:line="360" w:lineRule="auto"/>
        <w:rPr>
          <w:rFonts w:hint="eastAsia" w:ascii="宋体" w:cs="宋体"/>
          <w:bCs/>
        </w:rPr>
      </w:pPr>
      <w:r>
        <w:rPr>
          <w:rFonts w:hint="eastAsia" w:ascii="宋体" w:cs="宋体"/>
          <w:bCs/>
        </w:rPr>
        <w:t xml:space="preserve">30.9本项目质疑函的接收人和联系方式详见第一章采购代理机构联系方式。</w:t>
      </w:r>
      <w:r>
        <w:rPr>
          <w:rFonts w:hint="eastAsia" w:ascii="宋体" w:cs="宋体"/>
          <w:bCs/>
        </w:rPr>
      </w:r>
      <w:r/>
    </w:p>
    <w:p>
      <w:pPr>
        <w:pStyle w:val="1275"/>
        <w:ind w:firstLine="420"/>
        <w:spacing w:line="440" w:lineRule="exact"/>
        <w:rPr>
          <w:rFonts w:ascii="Arial" w:hAnsi="Arial" w:cs="Arial"/>
          <w:bCs/>
        </w:rPr>
      </w:pPr>
      <w:r>
        <w:rPr>
          <w:rFonts w:hint="eastAsia" w:ascii="宋体" w:cs="宋体"/>
          <w:bCs/>
        </w:rPr>
        <w:t xml:space="preserve">30.10 采购代理机构在收到书面质疑后七个工作日内作出答复，并以书面形式通知质疑供应商和其他有关供应商，答复的内容不涉及商业秘密。</w:t>
      </w:r>
      <w:r>
        <w:rPr>
          <w:rFonts w:ascii="Arial" w:hAnsi="Arial" w:cs="Arial"/>
          <w:bCs/>
        </w:rPr>
      </w:r>
      <w:r/>
    </w:p>
    <w:p>
      <w:pPr>
        <w:pStyle w:val="1275"/>
        <w:ind w:firstLine="420"/>
        <w:jc w:val="center"/>
        <w:spacing w:line="440" w:lineRule="exact"/>
        <w:shd w:val="clear" w:color="auto" w:fill="ffffff"/>
        <w:widowControl/>
        <w:rPr>
          <w:rFonts w:ascii="Arial" w:hAnsi="Arial" w:cs="Arial"/>
          <w:b/>
          <w:szCs w:val="21"/>
        </w:rPr>
        <w:outlineLvl w:val="0"/>
      </w:pPr>
      <w:r>
        <w:rPr>
          <w:rFonts w:ascii="Arial" w:hAnsi="Arial" w:cs="Arial"/>
          <w:b/>
          <w:bCs/>
          <w:sz w:val="24"/>
        </w:rPr>
        <w:br w:type="page" w:clear="all"/>
      </w:r>
      <w:bookmarkStart w:id="233" w:name="_Toc18306"/>
      <w:r>
        <w:rPr>
          <w:rFonts w:ascii="Arial" w:hAnsi="Arial" w:eastAsia="黑体" w:cs="Arial"/>
          <w:b/>
          <w:sz w:val="28"/>
          <w:szCs w:val="28"/>
        </w:rPr>
        <w:t xml:space="preserve">第三章 评标标准</w:t>
      </w:r>
      <w:bookmarkEnd w:id="233"/>
      <w:r>
        <w:rPr>
          <w:rFonts w:ascii="Arial" w:hAnsi="Arial" w:cs="Arial"/>
          <w:b/>
          <w:szCs w:val="21"/>
        </w:rPr>
      </w:r>
      <w:r/>
    </w:p>
    <w:p>
      <w:pPr>
        <w:pStyle w:val="1275"/>
        <w:ind w:firstLine="422"/>
        <w:spacing w:line="360" w:lineRule="auto"/>
        <w:rPr>
          <w:rFonts w:hint="eastAsia" w:ascii="宋体" w:cs="宋体"/>
          <w:b/>
          <w:bCs/>
          <w:szCs w:val="21"/>
        </w:rPr>
      </w:pPr>
      <w:r/>
      <w:bookmarkStart w:id="234" w:name="_Toc189726853"/>
      <w:r/>
      <w:bookmarkEnd w:id="234"/>
      <w:r/>
      <w:bookmarkStart w:id="235" w:name="_Hlk297273538"/>
      <w:r/>
      <w:bookmarkEnd w:id="235"/>
      <w:r/>
      <w:bookmarkStart w:id="236" w:name="_Toc25032666"/>
      <w:r/>
      <w:bookmarkEnd w:id="236"/>
      <w:r/>
      <w:bookmarkStart w:id="237" w:name="_Toc163629751"/>
      <w:r/>
      <w:bookmarkEnd w:id="237"/>
      <w:r/>
      <w:bookmarkStart w:id="238" w:name="_Toc521839351"/>
      <w:r/>
      <w:bookmarkEnd w:id="238"/>
      <w:r/>
      <w:bookmarkStart w:id="239" w:name="_Toc522347554"/>
      <w:r/>
      <w:bookmarkEnd w:id="239"/>
      <w:r/>
      <w:bookmarkStart w:id="240" w:name="_Toc142623417"/>
      <w:r/>
      <w:bookmarkEnd w:id="240"/>
      <w:r>
        <w:rPr>
          <w:rFonts w:hint="eastAsia" w:ascii="宋体" w:cs="宋体"/>
          <w:b/>
          <w:bCs/>
          <w:szCs w:val="21"/>
        </w:rPr>
        <w:t xml:space="preserve">（一）评审方法</w:t>
      </w:r>
      <w:r>
        <w:rPr>
          <w:rFonts w:hint="eastAsia" w:ascii="宋体" w:cs="宋体"/>
          <w:b/>
          <w:bCs/>
          <w:szCs w:val="21"/>
        </w:rPr>
      </w:r>
      <w:r/>
    </w:p>
    <w:p>
      <w:pPr>
        <w:pStyle w:val="1275"/>
        <w:ind w:firstLine="420"/>
        <w:spacing w:line="360" w:lineRule="auto"/>
        <w:rPr>
          <w:rFonts w:hint="eastAsia" w:ascii="宋体" w:cs="宋体"/>
          <w:szCs w:val="21"/>
        </w:rPr>
      </w:pPr>
      <w:r>
        <w:rPr>
          <w:rFonts w:hint="eastAsia" w:ascii="宋体" w:cs="宋体"/>
          <w:szCs w:val="21"/>
        </w:rPr>
        <w:t xml:space="preserve">本项目采用综合评分法。</w:t>
      </w:r>
      <w:r>
        <w:rPr>
          <w:rFonts w:hint="eastAsia" w:ascii="宋体" w:cs="宋体"/>
          <w:szCs w:val="21"/>
        </w:rPr>
      </w:r>
      <w:r/>
    </w:p>
    <w:p>
      <w:pPr>
        <w:pStyle w:val="1275"/>
        <w:ind w:firstLine="422"/>
        <w:spacing w:line="360" w:lineRule="auto"/>
        <w:rPr>
          <w:rFonts w:hint="eastAsia" w:ascii="宋体" w:cs="宋体"/>
          <w:b/>
          <w:bCs/>
          <w:szCs w:val="21"/>
        </w:rPr>
      </w:pPr>
      <w:r>
        <w:rPr>
          <w:rFonts w:hint="eastAsia" w:ascii="宋体" w:cs="宋体"/>
          <w:b/>
          <w:bCs/>
          <w:szCs w:val="21"/>
        </w:rPr>
        <w:t xml:space="preserve">（二）评审标准</w:t>
      </w:r>
      <w:r>
        <w:rPr>
          <w:rFonts w:hint="eastAsia" w:ascii="宋体" w:cs="宋体"/>
          <w:b/>
          <w:bCs/>
          <w:szCs w:val="21"/>
        </w:rPr>
      </w:r>
      <w:r/>
    </w:p>
    <w:p>
      <w:pPr>
        <w:pStyle w:val="1275"/>
        <w:spacing w:line="360" w:lineRule="auto"/>
        <w:rPr>
          <w:rFonts w:hint="eastAsia" w:ascii="宋体" w:cs="宋体"/>
          <w:szCs w:val="21"/>
        </w:rPr>
      </w:pPr>
      <w:r>
        <w:rPr>
          <w:rFonts w:hint="eastAsia" w:ascii="宋体" w:cs="宋体"/>
          <w:szCs w:val="21"/>
        </w:rPr>
        <w:t xml:space="preserve">1、国家政策导向</w:t>
      </w:r>
      <w:r>
        <w:rPr>
          <w:rFonts w:hint="eastAsia" w:ascii="宋体" w:cs="宋体"/>
          <w:szCs w:val="21"/>
        </w:rPr>
      </w:r>
      <w:r/>
    </w:p>
    <w:p>
      <w:pPr>
        <w:pStyle w:val="1275"/>
        <w:ind w:firstLine="422"/>
        <w:spacing w:line="360" w:lineRule="auto"/>
        <w:rPr>
          <w:rFonts w:hint="eastAsia" w:ascii="宋体" w:cs="宋体"/>
          <w:szCs w:val="21"/>
        </w:rPr>
      </w:pPr>
      <w:r>
        <w:rPr>
          <w:rFonts w:hint="eastAsia" w:ascii="宋体" w:cs="宋体"/>
          <w:b/>
          <w:bCs/>
          <w:szCs w:val="21"/>
        </w:rPr>
        <w:t xml:space="preserve">（1）促进小微企业发展政策：</w:t>
      </w:r>
      <w:r>
        <w:rPr>
          <w:rFonts w:hint="eastAsia" w:asci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cs="宋体"/>
          <w:szCs w:val="21"/>
        </w:rPr>
      </w:r>
      <w:r/>
    </w:p>
    <w:p>
      <w:pPr>
        <w:pStyle w:val="1275"/>
        <w:ind w:firstLine="422"/>
        <w:spacing w:line="360" w:lineRule="auto"/>
        <w:rPr>
          <w:rFonts w:hint="eastAsia" w:ascii="宋体" w:cs="宋体"/>
          <w:szCs w:val="21"/>
        </w:rPr>
      </w:pPr>
      <w:r>
        <w:rPr>
          <w:rFonts w:hint="eastAsia" w:ascii="宋体" w:cs="宋体"/>
          <w:b/>
          <w:bCs/>
          <w:szCs w:val="21"/>
        </w:rPr>
        <w:t xml:space="preserve">（2）监狱企业扶持政策：</w:t>
      </w:r>
      <w:r>
        <w:rPr>
          <w:rFonts w:hint="eastAsia" w:asci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cs="宋体"/>
          <w:szCs w:val="21"/>
        </w:rPr>
      </w:r>
      <w:r/>
    </w:p>
    <w:p>
      <w:pPr>
        <w:pStyle w:val="1275"/>
        <w:ind w:firstLine="422"/>
        <w:spacing w:line="360" w:lineRule="auto"/>
        <w:rPr>
          <w:rFonts w:hint="eastAsia" w:ascii="宋体" w:cs="宋体"/>
          <w:szCs w:val="21"/>
        </w:rPr>
      </w:pPr>
      <w:r>
        <w:rPr>
          <w:rFonts w:hint="eastAsia" w:ascii="宋体" w:cs="宋体"/>
          <w:b/>
          <w:bCs/>
          <w:szCs w:val="21"/>
        </w:rPr>
        <w:t xml:space="preserve">（3）残疾人福利性单位扶持政策：</w:t>
      </w:r>
      <w:r>
        <w:rPr>
          <w:rFonts w:hint="eastAsia" w:asci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cs="宋体"/>
          <w:szCs w:val="21"/>
        </w:rPr>
      </w:r>
      <w:r/>
    </w:p>
    <w:p>
      <w:pPr>
        <w:pStyle w:val="1275"/>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275"/>
        <w:ind w:firstLine="422"/>
        <w:spacing w:line="360" w:lineRule="auto"/>
        <w:rPr>
          <w:rFonts w:hint="eastAsia"/>
          <w:szCs w:val="21"/>
        </w:rPr>
      </w:pPr>
      <w:r>
        <w:rPr>
          <w:rFonts w:hint="eastAsia"/>
          <w:b/>
          <w:bCs/>
          <w:szCs w:val="21"/>
        </w:rPr>
        <w:t xml:space="preserve">（5）采购本国产品的支持政策：</w:t>
      </w:r>
      <w:r>
        <w:rPr>
          <w:rFonts w:hint="eastAsia"/>
          <w:szCs w:val="21"/>
        </w:rPr>
      </w:r>
      <w:r/>
    </w:p>
    <w:p>
      <w:pPr>
        <w:pStyle w:val="1275"/>
        <w:ind w:firstLine="422"/>
        <w:spacing w:line="360" w:lineRule="auto"/>
        <w:rPr>
          <w:rFonts w:hint="eastAsia"/>
          <w:color w:val="000000"/>
          <w:szCs w:val="21"/>
        </w:rPr>
      </w:pPr>
      <w:r>
        <w:rPr>
          <w:rFonts w:hint="eastAsia"/>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rPr>
      </w:r>
      <w:r/>
    </w:p>
    <w:p>
      <w:pPr>
        <w:pStyle w:val="1275"/>
        <w:ind w:firstLine="422"/>
        <w:spacing w:line="360" w:lineRule="auto"/>
        <w:rPr>
          <w:rFonts w:hint="eastAsia"/>
          <w:color w:val="000000"/>
          <w:szCs w:val="21"/>
        </w:rPr>
      </w:pPr>
      <w:r>
        <w:rPr>
          <w:rFonts w:hint="eastAsia"/>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rPr>
      </w:r>
      <w:r/>
    </w:p>
    <w:p>
      <w:pPr>
        <w:pStyle w:val="1275"/>
        <w:ind w:firstLine="422"/>
        <w:spacing w:line="360" w:lineRule="auto"/>
        <w:rPr>
          <w:rFonts w:hint="eastAsia"/>
          <w:color w:val="000000"/>
          <w:szCs w:val="21"/>
        </w:rPr>
      </w:pPr>
      <w:r>
        <w:rPr>
          <w:rFonts w:hint="eastAsia"/>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rPr>
      </w:r>
      <w:r/>
    </w:p>
    <w:p>
      <w:pPr>
        <w:pStyle w:val="1275"/>
        <w:ind w:firstLine="422"/>
        <w:spacing w:line="360" w:lineRule="auto"/>
        <w:rPr>
          <w:rFonts w:hint="eastAsia"/>
          <w:color w:val="000000"/>
          <w:szCs w:val="21"/>
        </w:rPr>
      </w:pPr>
      <w:r>
        <w:rPr>
          <w:rFonts w:hint="eastAsia"/>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rPr>
      </w:r>
      <w:r/>
    </w:p>
    <w:p>
      <w:pPr>
        <w:pStyle w:val="1275"/>
        <w:ind w:firstLine="422"/>
        <w:spacing w:line="360" w:lineRule="auto"/>
        <w:rPr>
          <w:rFonts w:hint="eastAsia" w:ascii="宋体" w:hAnsi="宋体" w:cs="宋体"/>
          <w:szCs w:val="21"/>
        </w:rPr>
      </w:pPr>
      <w:r>
        <w:rPr>
          <w:rFonts w:hint="eastAsia"/>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Cs w:val="21"/>
        </w:rPr>
      </w:r>
      <w:r/>
    </w:p>
    <w:p>
      <w:pPr>
        <w:pStyle w:val="1275"/>
        <w:spacing w:line="360" w:lineRule="auto"/>
        <w:rPr>
          <w:rFonts w:hint="eastAsia" w:ascii="宋体" w:cs="宋体"/>
          <w:szCs w:val="21"/>
        </w:rPr>
      </w:pPr>
      <w:r>
        <w:rPr>
          <w:rFonts w:hint="eastAsia" w:asci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szCs w:val="21"/>
        </w:rPr>
      </w:r>
      <w:r/>
    </w:p>
    <w:p>
      <w:pPr>
        <w:pStyle w:val="1275"/>
        <w:ind w:firstLine="420"/>
        <w:spacing w:line="360" w:lineRule="auto"/>
        <w:rPr>
          <w:rFonts w:hint="eastAsia" w:ascii="宋体" w:cs="宋体"/>
          <w:szCs w:val="21"/>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宋体" w:cs="宋体"/>
          <w:szCs w:val="21"/>
        </w:rPr>
        <w:t xml:space="preserve">具体打分方法如下：</w:t>
      </w:r>
      <w:r>
        <w:rPr>
          <w:rFonts w:hint="eastAsia" w:ascii="宋体" w:cs="宋体"/>
          <w:szCs w:val="21"/>
        </w:rPr>
      </w:r>
      <w:r/>
    </w:p>
    <w:p>
      <w:pPr>
        <w:pStyle w:val="1275"/>
        <w:ind w:firstLine="420"/>
        <w:spacing w:line="360" w:lineRule="auto"/>
        <w:rPr>
          <w:rFonts w:hint="eastAsia" w:ascii="宋体" w:cs="宋体"/>
          <w:szCs w:val="21"/>
        </w:rPr>
      </w:pPr>
      <w:r>
        <w:rPr>
          <w:rFonts w:hint="eastAsia" w:asci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391"/>
        <w:gridCol w:w="6892"/>
        <w:gridCol w:w="749"/>
      </w:tblGrid>
      <w:tr>
        <w:trPr/>
        <w:tc>
          <w:tcPr>
            <w:tcW w:w="822" w:type="dxa"/>
            <w:vAlign w:val="center"/>
            <w:textDirection w:val="lrTb"/>
            <w:noWrap/>
          </w:tcPr>
          <w:p>
            <w:pPr>
              <w:pStyle w:val="1275"/>
              <w:jc w:val="center"/>
              <w:spacing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391" w:type="dxa"/>
            <w:vAlign w:val="center"/>
            <w:textDirection w:val="lrTb"/>
            <w:noWrap/>
          </w:tcPr>
          <w:p>
            <w:pPr>
              <w:pStyle w:val="1275"/>
              <w:jc w:val="center"/>
              <w:spacing w:line="360" w:lineRule="auto"/>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275"/>
              <w:jc w:val="center"/>
              <w:spacing w:line="360" w:lineRule="auto"/>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275"/>
              <w:jc w:val="center"/>
              <w:spacing w:line="360" w:lineRule="auto"/>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822" w:type="dxa"/>
            <w:vAlign w:val="center"/>
            <w:textDirection w:val="lrTb"/>
            <w:noWrap/>
          </w:tcPr>
          <w:p>
            <w:pPr>
              <w:pStyle w:val="1275"/>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1" w:type="dxa"/>
            <w:vAlign w:val="center"/>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275"/>
              <w:jc w:val="center"/>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275"/>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275"/>
              <w:jc w:val="center"/>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822" w:type="dxa"/>
            <w:vAlign w:val="center"/>
            <w:textDirection w:val="lrTb"/>
            <w:noWrap/>
          </w:tcPr>
          <w:p>
            <w:pPr>
              <w:pStyle w:val="1275"/>
              <w:jc w:val="center"/>
              <w:spacing w:line="48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391" w:type="dxa"/>
            <w:vAlign w:val="center"/>
            <w:vMerge w:val="restart"/>
            <w:textDirection w:val="lrTb"/>
            <w:noWrap/>
          </w:tcPr>
          <w:p>
            <w:pPr>
              <w:pStyle w:val="1275"/>
              <w:jc w:val="center"/>
              <w:spacing w:line="480" w:lineRule="exact"/>
              <w:rPr>
                <w:rFonts w:hint="eastAsia" w:ascii="宋体" w:hAnsi="宋体" w:eastAsia="宋体" w:cs="宋体"/>
                <w:szCs w:val="21"/>
                <w:lang w:eastAsia="zh-CN"/>
              </w:rPr>
            </w:pPr>
            <w:r>
              <w:rPr>
                <w:rFonts w:hint="eastAsia" w:ascii="宋体" w:hAnsi="宋体" w:cs="宋体"/>
                <w:szCs w:val="21"/>
              </w:rPr>
              <w:t xml:space="preserve">技术及商务</w:t>
            </w:r>
            <w:r>
              <w:rPr>
                <w:rFonts w:hint="eastAsia" w:ascii="宋体" w:hAnsi="宋体" w:cs="宋体"/>
                <w:szCs w:val="21"/>
                <w:lang w:eastAsia="zh-CN"/>
              </w:rPr>
              <w:t xml:space="preserve">响应</w:t>
            </w:r>
            <w:r>
              <w:rPr>
                <w:rFonts w:hint="eastAsia" w:ascii="宋体" w:hAnsi="宋体" w:eastAsia="宋体" w:cs="宋体"/>
                <w:szCs w:val="21"/>
                <w:lang w:eastAsia="zh-CN"/>
              </w:rPr>
            </w:r>
            <w:r/>
          </w:p>
          <w:p>
            <w:pPr>
              <w:pStyle w:val="1275"/>
              <w:jc w:val="center"/>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0</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75"/>
              <w:spacing w:line="480" w:lineRule="exact"/>
              <w:rPr>
                <w:rFonts w:ascii="宋体" w:hAnsi="宋体" w:cs="宋体"/>
                <w:szCs w:val="21"/>
                <w:highlight w:val="none"/>
              </w:rPr>
            </w:pPr>
            <w:r>
              <w:rPr>
                <w:rFonts w:hint="eastAsia" w:ascii="宋体" w:hAnsi="宋体" w:cs="宋体"/>
                <w:szCs w:val="21"/>
                <w:highlight w:val="none"/>
              </w:rPr>
              <w:t xml:space="preserve">设备技术参数及商务要求全部满足招标要求的得满分3</w:t>
            </w:r>
            <w:r>
              <w:rPr>
                <w:rFonts w:ascii="宋体" w:hAnsi="宋体" w:cs="宋体"/>
                <w:szCs w:val="21"/>
                <w:highlight w:val="none"/>
              </w:rPr>
              <w:t xml:space="preserve">7</w:t>
            </w:r>
            <w:r>
              <w:rPr>
                <w:rFonts w:hint="eastAsia" w:ascii="宋体" w:hAnsi="宋体" w:cs="宋体"/>
                <w:szCs w:val="21"/>
                <w:highlight w:val="none"/>
              </w:rPr>
              <w:t xml:space="preserve">分；</w:t>
            </w:r>
            <w:r>
              <w:rPr>
                <w:rFonts w:ascii="宋体" w:hAnsi="宋体" w:cs="宋体"/>
                <w:szCs w:val="21"/>
                <w:highlight w:val="none"/>
              </w:rPr>
            </w:r>
            <w:r/>
          </w:p>
          <w:p>
            <w:pPr>
              <w:pStyle w:val="1275"/>
              <w:spacing w:line="480" w:lineRule="exact"/>
              <w:rPr>
                <w:rFonts w:ascii="宋体" w:hAnsi="宋体" w:cs="宋体"/>
                <w:b/>
                <w:bCs/>
                <w:szCs w:val="21"/>
                <w:highlight w:val="none"/>
              </w:rPr>
            </w:pPr>
            <w:r>
              <w:rPr>
                <w:rFonts w:hint="eastAsia" w:ascii="宋体" w:hAnsi="宋体" w:cs="宋体"/>
                <w:szCs w:val="21"/>
                <w:highlight w:val="none"/>
              </w:rPr>
              <w:t xml:space="preserve">在此基础上，招标文件中标注“</w:t>
            </w:r>
            <w:r>
              <w:rPr>
                <w:rFonts w:hint="eastAsia" w:ascii="宋体" w:hAnsi="宋体" w:cs="宋体"/>
                <w:szCs w:val="21"/>
                <w:highlight w:val="none"/>
              </w:rPr>
              <w:t xml:space="preserve">★”的</w:t>
            </w:r>
            <w:r>
              <w:rPr>
                <w:rFonts w:hint="eastAsia" w:ascii="宋体" w:hAnsi="宋体" w:cs="宋体"/>
                <w:b/>
                <w:bCs/>
                <w:szCs w:val="21"/>
                <w:highlight w:val="none"/>
              </w:rPr>
              <w:t xml:space="preserve">条款为实质性要求，有一项负偏离，作无效投标处理。</w:t>
            </w:r>
            <w:r>
              <w:rPr>
                <w:rFonts w:hint="eastAsia" w:ascii="宋体" w:hAnsi="宋体" w:cs="宋体"/>
                <w:szCs w:val="21"/>
                <w:highlight w:val="none"/>
              </w:rPr>
              <w:t xml:space="preserve">其他非重要技术条款每有一项负偏离扣</w:t>
            </w:r>
            <w:r>
              <w:rPr>
                <w:rFonts w:hint="eastAsia" w:ascii="宋体" w:hAnsi="宋体" w:cs="宋体"/>
                <w:szCs w:val="21"/>
                <w:highlight w:val="none"/>
                <w:lang w:val="en-US" w:eastAsia="zh-CN"/>
              </w:rPr>
              <w:t xml:space="preserve">0.3</w:t>
            </w:r>
            <w:r>
              <w:rPr>
                <w:rFonts w:hint="eastAsia" w:ascii="宋体" w:hAnsi="宋体" w:cs="宋体"/>
                <w:szCs w:val="21"/>
                <w:highlight w:val="none"/>
              </w:rPr>
              <w:t xml:space="preserve">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highlight w:val="none"/>
              </w:rPr>
            </w:r>
            <w:r/>
          </w:p>
          <w:p>
            <w:pPr>
              <w:pStyle w:val="1275"/>
              <w:spacing w:line="480" w:lineRule="exact"/>
              <w:rPr>
                <w:rFonts w:ascii="Calibri" w:hAnsi="Calibri"/>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szCs w:val="21"/>
                <w:highlight w:val="none"/>
                <w:lang w:eastAsia="zh-CN"/>
              </w:rPr>
              <w:t xml:space="preserve">，</w:t>
            </w:r>
            <w:r>
              <w:rPr>
                <w:rFonts w:hint="eastAsia" w:ascii="宋体" w:hAnsi="宋体" w:cs="宋体"/>
                <w:b/>
                <w:bCs/>
                <w:szCs w:val="21"/>
              </w:rPr>
              <w:t xml:space="preserve">设备及明细配置清单</w:t>
            </w:r>
            <w:r>
              <w:rPr>
                <w:rFonts w:hint="eastAsia" w:ascii="宋体" w:hAnsi="宋体" w:cs="宋体"/>
                <w:b/>
                <w:szCs w:val="21"/>
                <w:highlight w:val="none"/>
                <w:lang w:eastAsia="zh-CN"/>
              </w:rPr>
              <w:t xml:space="preserve">中标注</w:t>
            </w: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的无需提供</w:t>
            </w:r>
            <w:r>
              <w:rPr>
                <w:rFonts w:hint="eastAsia" w:ascii="宋体" w:hAnsi="宋体" w:cs="宋体"/>
                <w:b/>
                <w:szCs w:val="21"/>
                <w:highlight w:val="none"/>
              </w:rPr>
              <w:t xml:space="preserve">。</w:t>
            </w:r>
            <w:r>
              <w:rPr>
                <w:rFonts w:ascii="Calibri" w:hAnsi="Calibri"/>
                <w:szCs w:val="21"/>
                <w:highlight w:val="none"/>
              </w:rPr>
            </w:r>
            <w:r/>
          </w:p>
        </w:tc>
        <w:tc>
          <w:tcPr>
            <w:tcW w:w="749" w:type="dxa"/>
            <w:vAlign w:val="center"/>
            <w:textDirection w:val="lrTb"/>
            <w:noWrap/>
          </w:tcPr>
          <w:p>
            <w:pPr>
              <w:pStyle w:val="1275"/>
              <w:jc w:val="center"/>
              <w:spacing w:line="480" w:lineRule="exact"/>
              <w:rPr>
                <w:rFonts w:hint="eastAsia"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7</w:t>
            </w:r>
            <w:r>
              <w:rPr>
                <w:rFonts w:hint="eastAsia" w:ascii="宋体" w:hAnsi="宋体" w:cs="宋体"/>
                <w:szCs w:val="21"/>
                <w:highlight w:val="none"/>
              </w:rPr>
            </w:r>
            <w:r/>
          </w:p>
        </w:tc>
      </w:tr>
      <w:tr>
        <w:trPr>
          <w:cantSplit/>
        </w:trPr>
        <w:tc>
          <w:tcPr>
            <w:tcW w:w="822" w:type="dxa"/>
            <w:vAlign w:val="center"/>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r>
            <w:r/>
          </w:p>
        </w:tc>
        <w:tc>
          <w:tcPr>
            <w:tcW w:w="1391" w:type="dxa"/>
            <w:vAlign w:val="center"/>
            <w:vMerge w:val="continue"/>
            <w:textDirection w:val="lrTb"/>
            <w:noWrap/>
          </w:tcPr>
          <w:p>
            <w:pPr>
              <w:pStyle w:val="1275"/>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75"/>
              <w:spacing w:line="300" w:lineRule="auto"/>
              <w:rPr>
                <w:rFonts w:ascii="宋体" w:hAnsi="宋体" w:cs="宋体"/>
                <w:szCs w:val="21"/>
              </w:rPr>
            </w:pPr>
            <w:r>
              <w:rPr>
                <w:rFonts w:hint="eastAsia" w:ascii="宋体" w:hAnsi="宋体" w:cs="宋体"/>
                <w:szCs w:val="21"/>
              </w:rPr>
              <w:t xml:space="preserve">产品选型与规格完全匹配项目需求；设计方案内容详实，执行标准明确；材质选用列明具体品牌、牌号或技术等级；制造工艺描述清晰，包含关键制造工艺工序的，得3分；</w:t>
            </w:r>
            <w:r>
              <w:rPr>
                <w:rFonts w:ascii="宋体" w:hAnsi="宋体" w:cs="宋体"/>
                <w:szCs w:val="21"/>
              </w:rPr>
            </w:r>
            <w:r/>
          </w:p>
          <w:p>
            <w:pPr>
              <w:pStyle w:val="1275"/>
              <w:spacing w:line="300" w:lineRule="auto"/>
              <w:rPr>
                <w:rFonts w:ascii="宋体" w:hAnsi="宋体" w:cs="宋体"/>
                <w:szCs w:val="21"/>
              </w:rPr>
            </w:pPr>
            <w:r>
              <w:rPr>
                <w:rFonts w:hint="eastAsia" w:ascii="宋体" w:hAnsi="宋体" w:cs="宋体"/>
                <w:szCs w:val="21"/>
              </w:rPr>
              <w:t xml:space="preserve">产品选型与规格符合项目需求；设计方案完整；材质选用说明材质类型；制造工艺有基本描述，得2分；</w:t>
            </w:r>
            <w:r>
              <w:rPr>
                <w:rFonts w:ascii="宋体" w:hAnsi="宋体" w:cs="宋体"/>
                <w:szCs w:val="21"/>
              </w:rPr>
            </w:r>
            <w:r/>
          </w:p>
          <w:p>
            <w:pPr>
              <w:pStyle w:val="1275"/>
              <w:spacing w:line="300" w:lineRule="auto"/>
              <w:rPr>
                <w:rFonts w:ascii="宋体" w:hAnsi="宋体" w:cs="宋体"/>
                <w:szCs w:val="21"/>
              </w:rPr>
            </w:pPr>
            <w:r>
              <w:rPr>
                <w:rFonts w:hint="eastAsia" w:ascii="宋体" w:hAnsi="宋体" w:cs="宋体"/>
                <w:szCs w:val="21"/>
              </w:rPr>
              <w:t xml:space="preserve">产品选型、规格、设计方案、性能、材质选用或制造工艺中有任一内容与采购文件要求存在负偏离得1分；</w:t>
            </w:r>
            <w:r>
              <w:rPr>
                <w:rFonts w:ascii="宋体" w:hAnsi="宋体" w:cs="宋体"/>
                <w:szCs w:val="21"/>
              </w:rPr>
            </w:r>
            <w:r/>
          </w:p>
          <w:p>
            <w:pPr>
              <w:pStyle w:val="1275"/>
              <w:spacing w:line="300" w:lineRule="auto"/>
              <w:rPr>
                <w:rFonts w:ascii="宋体" w:hAnsi="宋体" w:cs="宋体"/>
                <w:szCs w:val="21"/>
              </w:rPr>
            </w:pPr>
            <w:r>
              <w:rPr>
                <w:rFonts w:hint="eastAsia" w:ascii="宋体" w:hAnsi="宋体" w:cs="宋体"/>
                <w:szCs w:val="21"/>
              </w:rPr>
              <w:t xml:space="preserve">未提供得0分。</w:t>
            </w:r>
            <w:r>
              <w:rPr>
                <w:rFonts w:ascii="宋体" w:hAnsi="宋体" w:cs="宋体"/>
                <w:szCs w:val="21"/>
              </w:rPr>
            </w:r>
            <w:r/>
          </w:p>
        </w:tc>
        <w:tc>
          <w:tcPr>
            <w:tcW w:w="749" w:type="dxa"/>
            <w:vAlign w:val="center"/>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Pr>
        <w:tc>
          <w:tcPr>
            <w:tcW w:w="822" w:type="dxa"/>
            <w:vAlign w:val="center"/>
            <w:vMerge w:val="restart"/>
            <w:textDirection w:val="lrTb"/>
            <w:noWrap/>
          </w:tcPr>
          <w:p>
            <w:pPr>
              <w:pStyle w:val="1275"/>
              <w:jc w:val="center"/>
              <w:spacing w:line="480" w:lineRule="exact"/>
              <w:rPr>
                <w:rFonts w:hint="eastAsia" w:ascii="宋体" w:hAnsi="宋体" w:cs="宋体"/>
                <w:szCs w:val="21"/>
                <w:highlight w:val="cyan"/>
              </w:rPr>
            </w:pPr>
            <w:r>
              <w:rPr>
                <w:rFonts w:hint="eastAsia" w:ascii="宋体" w:hAnsi="宋体" w:cs="宋体"/>
                <w:szCs w:val="21"/>
              </w:rPr>
              <w:t xml:space="preserve">3</w:t>
            </w:r>
            <w:r>
              <w:rPr>
                <w:rFonts w:hint="eastAsia" w:ascii="宋体" w:hAnsi="宋体" w:cs="宋体"/>
                <w:szCs w:val="21"/>
                <w:highlight w:val="cyan"/>
              </w:rPr>
            </w:r>
            <w:r/>
          </w:p>
        </w:tc>
        <w:tc>
          <w:tcPr>
            <w:tcW w:w="1391" w:type="dxa"/>
            <w:vAlign w:val="center"/>
            <w:vMerge w:val="restart"/>
            <w:textDirection w:val="lrTb"/>
            <w:noWrap/>
          </w:tcPr>
          <w:p>
            <w:pPr>
              <w:pStyle w:val="1275"/>
              <w:jc w:val="center"/>
              <w:spacing w:line="480" w:lineRule="exact"/>
              <w:rPr>
                <w:rFonts w:ascii="宋体" w:hAnsi="宋体" w:cs="宋体"/>
                <w:color w:val="000000"/>
                <w:szCs w:val="21"/>
              </w:rPr>
            </w:pPr>
            <w:r>
              <w:rPr>
                <w:rFonts w:hint="eastAsia" w:ascii="宋体" w:hAnsi="宋体" w:cs="宋体"/>
                <w:color w:val="000000"/>
                <w:szCs w:val="21"/>
              </w:rPr>
              <w:t xml:space="preserve">实施方案</w:t>
            </w:r>
            <w:r>
              <w:rPr>
                <w:rFonts w:ascii="宋体" w:hAnsi="宋体" w:cs="宋体"/>
                <w:color w:val="000000"/>
                <w:szCs w:val="21"/>
              </w:rPr>
            </w:r>
            <w:r/>
          </w:p>
          <w:p>
            <w:pPr>
              <w:pStyle w:val="1275"/>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275"/>
              <w:spacing w:line="360" w:lineRule="auto"/>
              <w:rPr>
                <w:rFonts w:hint="eastAsia" w:ascii="宋体" w:hAnsi="宋体" w:cs="宋体"/>
                <w:color w:val="000000"/>
                <w:szCs w:val="21"/>
              </w:rPr>
            </w:pPr>
            <w:r>
              <w:rPr>
                <w:rFonts w:hint="eastAsia" w:ascii="宋体" w:hAnsi="宋体" w:cs="宋体"/>
                <w:color w:val="000000"/>
                <w:szCs w:val="21"/>
                <w:lang w:bidi="ar"/>
              </w:rPr>
              <w:t xml:space="preserve">评委根据投标文件中实施方案的内容（</w:t>
            </w:r>
            <w:r>
              <w:rPr>
                <w:rFonts w:hint="eastAsia" w:ascii="宋体" w:hAnsi="宋体" w:cs="宋体"/>
                <w:color w:val="000000"/>
                <w:szCs w:val="21"/>
              </w:rPr>
              <w:t xml:space="preserve">包括但不限于项目技术方案、改造方案、供货计划、质量保障措施、风险控制管理措施等）</w:t>
            </w:r>
            <w:r>
              <w:rPr>
                <w:rFonts w:hint="eastAsia" w:ascii="宋体" w:hAnsi="宋体" w:cs="宋体"/>
                <w:color w:val="000000"/>
                <w:szCs w:val="21"/>
                <w:lang w:bidi="ar"/>
              </w:rPr>
              <w:t xml:space="preserve">进行打分：</w:t>
            </w:r>
            <w:r>
              <w:rPr>
                <w:rFonts w:hint="eastAsia" w:ascii="宋体" w:hAnsi="宋体" w:cs="宋体"/>
                <w:color w:val="000000"/>
                <w:szCs w:val="21"/>
              </w:rPr>
            </w:r>
            <w:r/>
          </w:p>
          <w:p>
            <w:pPr>
              <w:pStyle w:val="1275"/>
              <w:spacing w:line="360" w:lineRule="auto"/>
              <w:widowControl/>
              <w:rPr>
                <w:rFonts w:hint="eastAsia" w:ascii="宋体" w:hAnsi="宋体" w:eastAsia="宋体" w:cs="宋体"/>
                <w:color w:val="000000"/>
                <w:szCs w:val="21"/>
                <w:lang w:val="en-US" w:eastAsia="zh-CN"/>
              </w:rPr>
            </w:pPr>
            <w:r>
              <w:rPr>
                <w:rFonts w:hint="eastAsia" w:ascii="宋体" w:hAnsi="宋体" w:cs="宋体"/>
                <w:color w:val="000000"/>
                <w:szCs w:val="21"/>
                <w:lang w:bidi="ar"/>
              </w:rPr>
              <w:t xml:space="preserve">实施方案全面具体、内容详实，优于采购人要求的得</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rPr>
                <w:rFonts w:hint="eastAsia" w:ascii="宋体" w:hAnsi="宋体" w:cs="宋体"/>
                <w:color w:val="000000"/>
                <w:szCs w:val="21"/>
                <w:lang w:val="en-US" w:eastAsia="zh-CN" w:bidi="ar"/>
              </w:rPr>
              <w:t xml:space="preserve"> </w:t>
            </w:r>
            <w:r>
              <w:rPr>
                <w:rFonts w:hint="eastAsia" w:ascii="宋体" w:hAnsi="宋体" w:eastAsia="宋体" w:cs="宋体"/>
                <w:color w:val="000000"/>
                <w:szCs w:val="21"/>
                <w:lang w:val="en-US" w:eastAsia="zh-CN"/>
              </w:rPr>
            </w:r>
            <w:r/>
          </w:p>
          <w:p>
            <w:pPr>
              <w:pStyle w:val="1275"/>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实施方案较全面、内容完整，能够满足采购人要求的得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1275"/>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实施方案不全面、内容空泛，不能完全满足采购人的要求的得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1275"/>
              <w:spacing w:line="360" w:lineRule="auto"/>
              <w:rPr>
                <w:rFonts w:ascii="宋体" w:hAnsi="宋体" w:cs="宋体"/>
                <w:color w:val="000000"/>
                <w:szCs w:val="21"/>
              </w:rPr>
            </w:pPr>
            <w:r>
              <w:rPr>
                <w:rFonts w:hint="eastAsia" w:ascii="宋体" w:hAnsi="宋体" w:cs="宋体"/>
                <w:color w:val="000000"/>
                <w:szCs w:val="21"/>
                <w:lang w:bidi="ar"/>
              </w:rPr>
              <w:t xml:space="preserve">未在投标文件中提供实施方案或者提供的实施方案不可行的得0分。</w:t>
            </w:r>
            <w:r>
              <w:rPr>
                <w:rFonts w:ascii="宋体" w:hAnsi="宋体" w:cs="宋体"/>
                <w:color w:val="000000"/>
                <w:szCs w:val="21"/>
              </w:rPr>
            </w:r>
            <w:r/>
          </w:p>
        </w:tc>
        <w:tc>
          <w:tcPr>
            <w:tcW w:w="749" w:type="dxa"/>
            <w:vAlign w:val="center"/>
            <w:textDirection w:val="lrTb"/>
            <w:noWrap/>
          </w:tcPr>
          <w:p>
            <w:pPr>
              <w:pStyle w:val="1275"/>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822" w:type="dxa"/>
            <w:vAlign w:val="center"/>
            <w:vMerge w:val="continue"/>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r>
            <w:r/>
          </w:p>
        </w:tc>
        <w:tc>
          <w:tcPr>
            <w:tcW w:w="1391" w:type="dxa"/>
            <w:vAlign w:val="center"/>
            <w:vMerge w:val="continue"/>
            <w:textDirection w:val="lrTb"/>
            <w:noWrap/>
          </w:tcPr>
          <w:p>
            <w:pPr>
              <w:pStyle w:val="1275"/>
              <w:jc w:val="center"/>
              <w:spacing w:line="480" w:lineRule="exact"/>
              <w:rPr>
                <w:rFonts w:ascii="宋体" w:hAnsi="宋体" w:cs="宋体"/>
                <w:color w:val="000000"/>
                <w:szCs w:val="21"/>
              </w:rPr>
            </w:pPr>
            <w:r>
              <w:rPr>
                <w:rFonts w:ascii="宋体" w:hAnsi="宋体" w:cs="宋体"/>
                <w:color w:val="000000"/>
                <w:szCs w:val="21"/>
              </w:rPr>
            </w:r>
            <w:r/>
          </w:p>
        </w:tc>
        <w:tc>
          <w:tcPr>
            <w:tcW w:w="6892" w:type="dxa"/>
            <w:vAlign w:val="center"/>
            <w:textDirection w:val="lrTb"/>
            <w:noWrap/>
          </w:tcPr>
          <w:p>
            <w:pPr>
              <w:pStyle w:val="1275"/>
              <w:spacing w:line="300" w:lineRule="auto"/>
              <w:rPr>
                <w:rFonts w:ascii="宋体" w:hAnsi="宋体" w:cs="宋体"/>
                <w:color w:val="000000"/>
                <w:szCs w:val="21"/>
              </w:rPr>
            </w:pPr>
            <w:r>
              <w:rPr>
                <w:rFonts w:hint="eastAsia" w:ascii="宋体" w:hAnsi="宋体" w:cs="宋体"/>
                <w:color w:val="000000"/>
                <w:szCs w:val="21"/>
              </w:rPr>
              <w:t xml:space="preserve">评委根据投标文件中项目技术支撑和</w:t>
            </w:r>
            <w:r>
              <w:rPr>
                <w:rFonts w:hint="eastAsia" w:ascii="宋体" w:hAnsi="宋体" w:cs="宋体"/>
                <w:color w:val="000000"/>
                <w:szCs w:val="21"/>
                <w:lang w:eastAsia="zh-CN"/>
              </w:rPr>
              <w:t xml:space="preserve">进度</w:t>
            </w:r>
            <w:r>
              <w:rPr>
                <w:rFonts w:hint="eastAsia" w:ascii="宋体" w:hAnsi="宋体" w:cs="宋体"/>
                <w:color w:val="000000"/>
                <w:szCs w:val="21"/>
              </w:rPr>
              <w:t xml:space="preserve">计划（包括但不限于人员配置、产品质量控制、设备安装调试验收进度、安全保障措施等方面）进行打分：</w:t>
            </w:r>
            <w:r>
              <w:rPr>
                <w:rFonts w:ascii="宋体" w:hAnsi="宋体" w:cs="宋体"/>
                <w:color w:val="000000"/>
                <w:szCs w:val="21"/>
              </w:rPr>
            </w:r>
            <w:r/>
          </w:p>
          <w:p>
            <w:pPr>
              <w:pStyle w:val="1275"/>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实施方案技术支撑配置优于采购人的要求，具有针对性，项目进度分析清晰具体的得</w:t>
            </w:r>
            <w:r>
              <w:rPr>
                <w:rFonts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1275"/>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实施方案技术支撑配置满足采购人的要求，项目进度分析清晰的得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1275"/>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实施方案技术支撑配置不能完全满足采购人的要求，项目进度不清晰的得1分；</w:t>
            </w:r>
            <w:r>
              <w:rPr>
                <w:rFonts w:hint="eastAsia" w:ascii="宋体" w:hAnsi="宋体" w:cs="宋体"/>
                <w:color w:val="000000"/>
                <w:szCs w:val="21"/>
              </w:rPr>
            </w:r>
            <w:r/>
          </w:p>
          <w:p>
            <w:pPr>
              <w:pStyle w:val="1275"/>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不提供得0分。</w:t>
            </w:r>
            <w:r>
              <w:rPr>
                <w:rFonts w:hint="eastAsia" w:ascii="宋体" w:hAnsi="宋体" w:cs="宋体"/>
                <w:color w:val="000000"/>
                <w:szCs w:val="21"/>
              </w:rPr>
            </w:r>
            <w:r/>
          </w:p>
        </w:tc>
        <w:tc>
          <w:tcPr>
            <w:tcW w:w="749" w:type="dxa"/>
            <w:vAlign w:val="center"/>
            <w:textDirection w:val="lrTb"/>
            <w:noWrap/>
          </w:tcPr>
          <w:p>
            <w:pPr>
              <w:pStyle w:val="1275"/>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822" w:type="dxa"/>
            <w:vAlign w:val="center"/>
            <w:vMerge w:val="restart"/>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1" w:type="dxa"/>
            <w:vAlign w:val="center"/>
            <w:vMerge w:val="restart"/>
            <w:textDirection w:val="lrTb"/>
            <w:noWrap/>
          </w:tcPr>
          <w:p>
            <w:pPr>
              <w:pStyle w:val="1275"/>
              <w:jc w:val="center"/>
              <w:spacing w:line="480" w:lineRule="exact"/>
              <w:rPr>
                <w:rFonts w:hint="eastAsia" w:ascii="宋体" w:hAnsi="宋体" w:cs="宋体"/>
                <w:color w:val="000000"/>
                <w:szCs w:val="21"/>
              </w:rPr>
            </w:pPr>
            <w:r>
              <w:rPr>
                <w:rFonts w:hint="eastAsia" w:ascii="宋体" w:hAnsi="宋体" w:cs="宋体"/>
                <w:color w:val="000000"/>
                <w:szCs w:val="21"/>
              </w:rPr>
              <w:t xml:space="preserve">售后服务方案</w:t>
            </w:r>
            <w:r>
              <w:rPr>
                <w:rFonts w:hint="eastAsia" w:ascii="宋体" w:hAnsi="宋体" w:cs="宋体"/>
                <w:color w:val="000000"/>
                <w:szCs w:val="21"/>
              </w:rPr>
            </w:r>
            <w:r/>
          </w:p>
          <w:p>
            <w:pPr>
              <w:pStyle w:val="1275"/>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275"/>
              <w:spacing w:line="400" w:lineRule="exact"/>
              <w:rPr>
                <w:rFonts w:ascii="宋体" w:hAnsi="宋体" w:cs="宋体"/>
                <w:color w:val="000000"/>
                <w:szCs w:val="21"/>
              </w:rPr>
            </w:pPr>
            <w:r>
              <w:rPr>
                <w:rFonts w:hint="eastAsia" w:ascii="宋体" w:hAnsi="宋体" w:cs="宋体"/>
                <w:color w:val="000000"/>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color w:val="000000"/>
                <w:szCs w:val="21"/>
              </w:rPr>
            </w:r>
            <w:r/>
          </w:p>
          <w:p>
            <w:pPr>
              <w:pStyle w:val="1275"/>
              <w:spacing w:line="400" w:lineRule="exact"/>
              <w:rPr>
                <w:rFonts w:ascii="宋体" w:hAnsi="宋体" w:cs="宋体"/>
                <w:color w:val="000000"/>
                <w:szCs w:val="21"/>
              </w:rPr>
            </w:pPr>
            <w:r>
              <w:rPr>
                <w:rFonts w:hint="eastAsia" w:ascii="宋体" w:hAnsi="宋体" w:cs="宋体"/>
                <w:color w:val="000000"/>
                <w:szCs w:val="21"/>
              </w:rPr>
              <w:t xml:space="preserve">售后服务方案完整详细，有明确的售后服务机构及人员、售后服务承诺</w:t>
            </w:r>
            <w:r>
              <w:rPr>
                <w:rFonts w:hint="eastAsia" w:ascii="宋体" w:hAnsi="宋体" w:cs="宋体"/>
                <w:color w:val="000000"/>
                <w:szCs w:val="21"/>
                <w:lang w:eastAsia="zh-CN"/>
              </w:rPr>
              <w:t xml:space="preserve">，</w:t>
            </w:r>
            <w:r>
              <w:rPr>
                <w:rFonts w:hint="eastAsia" w:ascii="宋体" w:hAnsi="宋体" w:cs="宋体"/>
                <w:color w:val="000000"/>
                <w:szCs w:val="21"/>
              </w:rPr>
              <w:t xml:space="preserve">售后服务响应及处理时间</w:t>
            </w:r>
            <w:r>
              <w:rPr>
                <w:rFonts w:hint="eastAsia" w:ascii="宋体" w:hAnsi="宋体" w:cs="宋体"/>
                <w:color w:val="000000"/>
                <w:szCs w:val="21"/>
                <w:lang w:eastAsia="zh-CN"/>
              </w:rPr>
              <w:t xml:space="preserve">迅速</w:t>
            </w:r>
            <w:r>
              <w:rPr>
                <w:rFonts w:hint="eastAsia" w:ascii="宋体" w:hAnsi="宋体" w:cs="宋体"/>
                <w:color w:val="000000"/>
                <w:szCs w:val="21"/>
              </w:rPr>
              <w:t xml:space="preserve">，质保期内的售后服务范围、质保期满后的售后服务范围和收费情况清晰具体，</w:t>
            </w:r>
            <w:r>
              <w:rPr>
                <w:rFonts w:hint="eastAsia" w:ascii="宋体" w:hAnsi="宋体" w:cs="宋体"/>
                <w:color w:val="000000"/>
                <w:szCs w:val="21"/>
                <w:lang w:bidi="ar"/>
              </w:rPr>
              <w:t xml:space="preserve">优于采购人要求的</w:t>
            </w:r>
            <w:r>
              <w:rPr>
                <w:rFonts w:hint="eastAsia" w:ascii="宋体" w:hAnsi="宋体" w:cs="宋体"/>
                <w:bCs/>
                <w:color w:val="000000"/>
                <w:szCs w:val="21"/>
              </w:rPr>
              <w:t xml:space="preserve">得</w:t>
            </w:r>
            <w:r>
              <w:rPr>
                <w:rFonts w:ascii="宋体" w:hAnsi="宋体" w:cs="宋体"/>
                <w:bCs/>
                <w:color w:val="000000"/>
                <w:szCs w:val="21"/>
              </w:rPr>
              <w:t xml:space="preserve">6</w:t>
            </w:r>
            <w:r>
              <w:rPr>
                <w:rFonts w:hint="eastAsia" w:ascii="宋体" w:hAnsi="宋体" w:cs="宋体"/>
                <w:color w:val="000000"/>
                <w:szCs w:val="21"/>
              </w:rPr>
              <w:t xml:space="preserve">分；</w:t>
            </w:r>
            <w:r>
              <w:rPr>
                <w:rFonts w:ascii="宋体" w:hAnsi="宋体" w:cs="宋体"/>
                <w:color w:val="000000"/>
                <w:szCs w:val="21"/>
              </w:rPr>
            </w:r>
            <w:r/>
          </w:p>
          <w:p>
            <w:pPr>
              <w:pStyle w:val="1275"/>
              <w:spacing w:line="400" w:lineRule="exact"/>
              <w:rPr>
                <w:rFonts w:ascii="宋体" w:hAnsi="宋体" w:cs="宋体"/>
                <w:color w:val="000000"/>
                <w:szCs w:val="21"/>
              </w:rPr>
            </w:pPr>
            <w:r>
              <w:rPr>
                <w:rFonts w:hint="eastAsia" w:ascii="宋体" w:hAnsi="宋体" w:cs="宋体"/>
                <w:color w:val="000000"/>
                <w:szCs w:val="21"/>
              </w:rPr>
              <w:t xml:space="preserve">售后服务方案完整，有明确的售后服务机构及人员、售后服务承诺</w:t>
            </w:r>
            <w:r>
              <w:rPr>
                <w:rFonts w:hint="eastAsia" w:ascii="宋体" w:hAnsi="宋体" w:cs="宋体"/>
                <w:color w:val="000000"/>
                <w:szCs w:val="21"/>
                <w:lang w:eastAsia="zh-CN"/>
              </w:rPr>
              <w:t xml:space="preserve">，</w:t>
            </w:r>
            <w:r>
              <w:rPr>
                <w:rFonts w:hint="eastAsia" w:ascii="宋体" w:hAnsi="宋体" w:cs="宋体"/>
                <w:color w:val="000000"/>
                <w:szCs w:val="21"/>
              </w:rPr>
              <w:t xml:space="preserve">售后服务应答及处理时间，质保期内的售后服务范围、质保期满后的售后服务范围和收费情况满足</w:t>
            </w:r>
            <w:r>
              <w:rPr>
                <w:rFonts w:hint="eastAsia" w:ascii="宋体" w:hAnsi="宋体" w:cs="宋体"/>
                <w:color w:val="000000"/>
                <w:szCs w:val="21"/>
                <w:lang w:bidi="ar"/>
              </w:rPr>
              <w:t xml:space="preserve">采购人要求的</w:t>
            </w:r>
            <w:r>
              <w:rPr>
                <w:rFonts w:hint="eastAsia" w:ascii="宋体" w:hAnsi="宋体" w:cs="宋体"/>
                <w:bCs/>
                <w:color w:val="000000"/>
                <w:szCs w:val="21"/>
              </w:rPr>
              <w:t xml:space="preserve">得</w:t>
            </w:r>
            <w:r>
              <w:rPr>
                <w:rFonts w:ascii="宋体" w:hAnsi="宋体" w:cs="宋体"/>
                <w:bCs/>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1275"/>
              <w:spacing w:line="400" w:lineRule="exact"/>
              <w:rPr>
                <w:rFonts w:ascii="宋体" w:hAnsi="宋体" w:cs="宋体"/>
                <w:color w:val="000000"/>
                <w:szCs w:val="21"/>
              </w:rPr>
            </w:pPr>
            <w:r>
              <w:rPr>
                <w:rFonts w:hint="eastAsia" w:ascii="宋体" w:hAnsi="宋体" w:cs="宋体"/>
                <w:color w:val="000000"/>
                <w:szCs w:val="21"/>
              </w:rPr>
              <w:t xml:space="preserve">售后服务体系</w:t>
            </w:r>
            <w:r>
              <w:rPr>
                <w:rFonts w:hint="eastAsia" w:ascii="宋体" w:hAnsi="宋体" w:cs="宋体"/>
                <w:color w:val="000000"/>
                <w:szCs w:val="21"/>
              </w:rPr>
              <w:t xml:space="preserve">薄弱</w:t>
            </w:r>
            <w:r>
              <w:rPr>
                <w:rFonts w:hint="eastAsia" w:ascii="宋体" w:hAnsi="宋体" w:cs="宋体"/>
                <w:color w:val="000000"/>
                <w:szCs w:val="21"/>
              </w:rPr>
              <w:t xml:space="preserve">，售后服务方案各方面内容</w:t>
            </w:r>
            <w:r>
              <w:rPr>
                <w:rFonts w:hint="eastAsia" w:ascii="宋体" w:hAnsi="宋体" w:cs="宋体"/>
                <w:color w:val="000000"/>
                <w:szCs w:val="21"/>
              </w:rPr>
              <w:t xml:space="preserve">介绍不明晰，</w:t>
            </w:r>
            <w:r>
              <w:rPr>
                <w:rFonts w:hint="eastAsia" w:ascii="宋体" w:hAnsi="宋体" w:cs="宋体"/>
                <w:bCs/>
                <w:color w:val="000000"/>
                <w:szCs w:val="21"/>
              </w:rPr>
              <w:t xml:space="preserve">得1</w:t>
            </w:r>
            <w:r>
              <w:rPr>
                <w:rFonts w:hint="eastAsia" w:ascii="宋体" w:hAnsi="宋体" w:cs="宋体"/>
                <w:color w:val="000000"/>
                <w:szCs w:val="21"/>
              </w:rPr>
              <w:t xml:space="preserve">分；</w:t>
            </w:r>
            <w:r>
              <w:rPr>
                <w:rFonts w:ascii="宋体" w:hAnsi="宋体" w:cs="宋体"/>
                <w:color w:val="000000"/>
                <w:szCs w:val="21"/>
              </w:rPr>
            </w:r>
            <w:r/>
          </w:p>
          <w:p>
            <w:pPr>
              <w:pStyle w:val="1275"/>
              <w:spacing w:line="400" w:lineRule="exact"/>
              <w:rPr>
                <w:rFonts w:ascii="宋体" w:hAnsi="宋体" w:cs="宋体"/>
                <w:color w:val="000000"/>
                <w:szCs w:val="21"/>
              </w:rPr>
            </w:pPr>
            <w:r>
              <w:rPr>
                <w:rFonts w:hint="eastAsia" w:ascii="宋体" w:hAnsi="宋体" w:cs="宋体"/>
                <w:color w:val="000000"/>
                <w:szCs w:val="21"/>
              </w:rPr>
              <w:t xml:space="preserve">不提供得0分。</w:t>
            </w:r>
            <w:r>
              <w:rPr>
                <w:rFonts w:ascii="宋体" w:hAnsi="宋体" w:cs="宋体"/>
                <w:color w:val="000000"/>
                <w:szCs w:val="21"/>
              </w:rPr>
            </w:r>
            <w:r/>
          </w:p>
        </w:tc>
        <w:tc>
          <w:tcPr>
            <w:tcW w:w="749" w:type="dxa"/>
            <w:vAlign w:val="center"/>
            <w:textDirection w:val="lrTb"/>
            <w:noWrap/>
          </w:tcPr>
          <w:p>
            <w:pPr>
              <w:pStyle w:val="1275"/>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822" w:type="dxa"/>
            <w:vAlign w:val="center"/>
            <w:vMerge w:val="continue"/>
            <w:textDirection w:val="lrTb"/>
            <w:noWrap/>
          </w:tcPr>
          <w:p>
            <w:pPr>
              <w:pStyle w:val="1275"/>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275"/>
              <w:spacing w:line="480" w:lineRule="exact"/>
              <w:rPr>
                <w:rFonts w:ascii="宋体" w:hAnsi="宋体" w:cs="宋体"/>
                <w:color w:val="000000"/>
                <w:szCs w:val="21"/>
              </w:rPr>
            </w:pPr>
            <w:r>
              <w:rPr>
                <w:rFonts w:ascii="宋体" w:hAnsi="宋体" w:cs="宋体"/>
                <w:color w:val="000000"/>
                <w:szCs w:val="21"/>
              </w:rPr>
            </w:r>
            <w:r/>
          </w:p>
        </w:tc>
        <w:tc>
          <w:tcPr>
            <w:tcW w:w="6892" w:type="dxa"/>
            <w:vAlign w:val="center"/>
            <w:textDirection w:val="lrTb"/>
            <w:noWrap/>
          </w:tcPr>
          <w:p>
            <w:pPr>
              <w:pStyle w:val="1275"/>
              <w:spacing w:line="400" w:lineRule="exact"/>
              <w:rPr>
                <w:rFonts w:ascii="宋体" w:hAnsi="宋体" w:cs="宋体"/>
                <w:color w:val="000000"/>
                <w:szCs w:val="21"/>
              </w:rPr>
            </w:pPr>
            <w:r>
              <w:rPr>
                <w:rFonts w:hint="eastAsia" w:ascii="宋体" w:hAnsi="宋体" w:cs="宋体"/>
                <w:color w:val="000000"/>
                <w:szCs w:val="21"/>
              </w:rPr>
              <w:t xml:space="preserve">评委根据投标文件中培训方案（包括但不限于培训目标、培训方法、培训内容、培训师资力量、培训时间、拟提供的培训资料等方面</w:t>
            </w:r>
            <w:r>
              <w:rPr>
                <w:rFonts w:hint="eastAsia" w:ascii="宋体" w:hAnsi="宋体" w:cs="宋体"/>
                <w:color w:val="000000"/>
                <w:szCs w:val="21"/>
              </w:rPr>
              <w:t xml:space="preserve">）</w:t>
            </w:r>
            <w:r>
              <w:rPr>
                <w:rFonts w:hint="eastAsia" w:ascii="宋体" w:hAnsi="宋体" w:cs="宋体"/>
                <w:color w:val="000000"/>
                <w:szCs w:val="21"/>
              </w:rPr>
              <w:t xml:space="preserve">进行打分：</w:t>
            </w:r>
            <w:r>
              <w:rPr>
                <w:rFonts w:ascii="宋体" w:hAnsi="宋体" w:cs="宋体"/>
                <w:color w:val="000000"/>
                <w:szCs w:val="21"/>
              </w:rPr>
            </w:r>
            <w:r/>
          </w:p>
          <w:p>
            <w:pPr>
              <w:pStyle w:val="1275"/>
              <w:spacing w:line="400" w:lineRule="exact"/>
              <w:rPr>
                <w:rFonts w:hint="eastAsia" w:ascii="宋体" w:hAnsi="宋体" w:cs="宋体"/>
                <w:color w:val="000000"/>
                <w:szCs w:val="21"/>
              </w:rPr>
            </w:pPr>
            <w:r>
              <w:rPr>
                <w:rFonts w:hint="eastAsia" w:ascii="宋体" w:hAnsi="宋体" w:cs="宋体"/>
                <w:color w:val="000000"/>
                <w:szCs w:val="21"/>
              </w:rPr>
              <w:t xml:space="preserve">培训方案内容全面，计划详细，安排合理，优于采购人要求的得</w:t>
            </w:r>
            <w:r>
              <w:rPr>
                <w:rFonts w:ascii="宋体" w:hAnsi="宋体" w:cs="宋体"/>
                <w:color w:val="000000"/>
                <w:szCs w:val="21"/>
              </w:rPr>
              <w:t xml:space="preserve">6</w:t>
            </w:r>
            <w:r>
              <w:rPr>
                <w:rFonts w:hint="eastAsia" w:ascii="宋体" w:hAnsi="宋体" w:cs="宋体"/>
                <w:color w:val="000000"/>
                <w:szCs w:val="21"/>
              </w:rPr>
              <w:t xml:space="preserve">分；培训方案内容完整，计划明确，满足采购人要求的得</w:t>
            </w:r>
            <w:r>
              <w:rPr>
                <w:rFonts w:ascii="宋体" w:hAnsi="宋体" w:cs="宋体"/>
                <w:color w:val="000000"/>
                <w:szCs w:val="21"/>
              </w:rPr>
              <w:t xml:space="preserve">3</w:t>
            </w:r>
            <w:r>
              <w:rPr>
                <w:rFonts w:hint="eastAsia" w:ascii="宋体" w:hAnsi="宋体" w:cs="宋体"/>
                <w:color w:val="000000"/>
                <w:szCs w:val="21"/>
              </w:rPr>
              <w:t xml:space="preserve">分；培训计划简单，形式单一，得1分；不提供得0分</w:t>
            </w:r>
            <w:r>
              <w:rPr>
                <w:rFonts w:hint="eastAsia" w:ascii="宋体" w:hAnsi="宋体" w:cs="宋体"/>
                <w:color w:val="000000"/>
                <w:szCs w:val="21"/>
              </w:rPr>
              <w:t xml:space="preserve">。</w:t>
            </w:r>
            <w:r>
              <w:rPr>
                <w:rFonts w:hint="eastAsia" w:ascii="宋体" w:hAnsi="宋体" w:cs="宋体"/>
                <w:color w:val="000000"/>
                <w:szCs w:val="21"/>
              </w:rPr>
            </w:r>
            <w:r/>
          </w:p>
        </w:tc>
        <w:tc>
          <w:tcPr>
            <w:tcW w:w="749" w:type="dxa"/>
            <w:vAlign w:val="center"/>
            <w:textDirection w:val="lrTb"/>
            <w:noWrap/>
          </w:tcPr>
          <w:p>
            <w:pPr>
              <w:pStyle w:val="1275"/>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c>
          <w:tcPr>
            <w:tcW w:w="822" w:type="dxa"/>
            <w:vAlign w:val="center"/>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1" w:type="dxa"/>
            <w:vAlign w:val="center"/>
            <w:textDirection w:val="lrTb"/>
            <w:noWrap/>
          </w:tcPr>
          <w:p>
            <w:pPr>
              <w:pStyle w:val="1275"/>
              <w:ind w:right="-263"/>
              <w:jc w:val="center"/>
              <w:spacing w:line="480" w:lineRule="exact"/>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p>
            <w:pPr>
              <w:pStyle w:val="1275"/>
              <w:ind w:right="-263"/>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275"/>
              <w:spacing w:line="480" w:lineRule="exact"/>
              <w:rPr>
                <w:color w:val="000000"/>
                <w:szCs w:val="21"/>
              </w:rPr>
            </w:pPr>
            <w:r>
              <w:rPr>
                <w:rFonts w:hint="eastAsia" w:ascii="宋体" w:hAnsi="宋体" w:cs="宋体"/>
                <w:color w:val="000000"/>
                <w:szCs w:val="21"/>
              </w:rPr>
              <w:t xml:space="preserve">提供20</w:t>
            </w:r>
            <w:r>
              <w:rPr>
                <w:rFonts w:ascii="宋体" w:hAnsi="宋体" w:cs="宋体"/>
                <w:color w:val="000000"/>
                <w:szCs w:val="21"/>
              </w:rPr>
              <w:t xml:space="preserve">2</w:t>
            </w:r>
            <w:r>
              <w:rPr>
                <w:rFonts w:hint="eastAsia" w:ascii="宋体" w:hAnsi="宋体" w:cs="宋体"/>
                <w:color w:val="000000"/>
                <w:szCs w:val="21"/>
              </w:rPr>
              <w:t xml:space="preserve">3年3月1日以来，</w:t>
            </w:r>
            <w:r>
              <w:rPr>
                <w:rFonts w:hint="eastAsia" w:ascii="宋体" w:hAnsi="宋体" w:cs="宋体"/>
                <w:b/>
                <w:bCs/>
                <w:color w:val="000000"/>
                <w:szCs w:val="21"/>
              </w:rPr>
              <w:t xml:space="preserve">投标人或制造商具有</w:t>
            </w:r>
            <w:r>
              <w:rPr>
                <w:rFonts w:hint="eastAsia" w:ascii="宋体" w:hAnsi="宋体" w:eastAsia="宋体" w:cs="宋体"/>
                <w:b/>
                <w:bCs/>
                <w:color w:val="000000"/>
                <w:szCs w:val="21"/>
                <w:lang w:eastAsia="zh-CN"/>
              </w:rPr>
              <w:t xml:space="preserve">与</w:t>
            </w:r>
            <w:r>
              <w:rPr>
                <w:rFonts w:hint="eastAsia" w:ascii="宋体" w:hAnsi="宋体" w:eastAsia="宋体" w:cs="宋体"/>
                <w:b/>
                <w:bCs/>
                <w:color w:val="000000"/>
                <w:szCs w:val="21"/>
              </w:rPr>
              <w:t xml:space="preserve">（高频微波场强标准装置</w:t>
            </w:r>
            <w:r>
              <w:rPr>
                <w:rFonts w:hint="eastAsia" w:ascii="宋体" w:hAnsi="宋体" w:eastAsia="宋体" w:cs="宋体"/>
                <w:b/>
                <w:bCs/>
                <w:color w:val="000000"/>
                <w:szCs w:val="21"/>
                <w:lang w:eastAsia="zh-CN"/>
              </w:rPr>
              <w:t xml:space="preserve">中</w:t>
            </w:r>
            <w:r>
              <w:rPr>
                <w:rFonts w:hint="eastAsia" w:ascii="宋体" w:hAnsi="宋体" w:eastAsia="宋体" w:cs="宋体"/>
                <w:b/>
                <w:bCs/>
                <w:color w:val="000000"/>
                <w:szCs w:val="21"/>
              </w:rPr>
              <w:t xml:space="preserve">TEM室场强校准系统）同品</w:t>
            </w:r>
            <w:r>
              <w:rPr>
                <w:rFonts w:hint="eastAsia" w:ascii="宋体" w:hAnsi="宋体" w:cs="宋体"/>
                <w:b/>
                <w:bCs/>
                <w:color w:val="000000"/>
                <w:szCs w:val="21"/>
              </w:rPr>
              <w:t xml:space="preserve">牌</w:t>
            </w:r>
            <w:r>
              <w:rPr>
                <w:rFonts w:hint="eastAsia" w:ascii="宋体" w:hAnsi="宋体" w:cs="宋体"/>
                <w:b/>
                <w:bCs/>
                <w:color w:val="000000"/>
                <w:szCs w:val="21"/>
              </w:rPr>
              <w:t xml:space="preserve">同型号产品</w:t>
            </w:r>
            <w:r>
              <w:rPr>
                <w:rFonts w:hint="eastAsia" w:ascii="宋体" w:hAnsi="宋体" w:cs="宋体"/>
                <w:b/>
                <w:bCs/>
                <w:szCs w:val="21"/>
              </w:rPr>
              <w:t xml:space="preserve">或同品牌技术指标不低于此次招标技术要求的产品</w:t>
            </w:r>
            <w:r>
              <w:rPr>
                <w:rFonts w:hint="eastAsia" w:ascii="宋体" w:hAnsi="宋体" w:cs="宋体"/>
                <w:color w:val="000000"/>
                <w:szCs w:val="21"/>
              </w:rPr>
              <w:t xml:space="preserve">在国内的销售业绩合同。每提供一份产品销售合同得</w:t>
            </w:r>
            <w:r>
              <w:rPr>
                <w:rFonts w:ascii="宋体" w:hAnsi="宋体" w:cs="宋体"/>
                <w:color w:val="000000"/>
                <w:szCs w:val="21"/>
              </w:rPr>
              <w:t xml:space="preserve">2</w:t>
            </w:r>
            <w:r>
              <w:rPr>
                <w:rFonts w:hint="eastAsia" w:ascii="宋体" w:hAnsi="宋体" w:cs="宋体"/>
                <w:color w:val="000000"/>
                <w:szCs w:val="21"/>
              </w:rPr>
              <w:t xml:space="preserve">分，最高</w:t>
            </w:r>
            <w:r>
              <w:rPr>
                <w:rFonts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b/>
                <w:bCs/>
                <w:color w:val="000000"/>
                <w:szCs w:val="21"/>
              </w:rPr>
              <w:t xml:space="preserve">（提供合同复印件，原件备查）</w:t>
            </w:r>
            <w:r>
              <w:rPr>
                <w:color w:val="000000"/>
                <w:szCs w:val="21"/>
              </w:rPr>
            </w:r>
            <w:r/>
          </w:p>
        </w:tc>
        <w:tc>
          <w:tcPr>
            <w:tcW w:w="749" w:type="dxa"/>
            <w:vAlign w:val="center"/>
            <w:textDirection w:val="lrTb"/>
            <w:noWrap/>
          </w:tcPr>
          <w:p>
            <w:pPr>
              <w:pStyle w:val="1275"/>
              <w:jc w:val="center"/>
              <w:spacing w:line="480" w:lineRule="exact"/>
              <w:rPr>
                <w:rFonts w:ascii="宋体" w:hAnsi="宋体" w:cs="宋体"/>
                <w:color w:val="000000"/>
                <w:szCs w:val="21"/>
              </w:rPr>
            </w:pPr>
            <w:r>
              <w:rPr>
                <w:rFonts w:ascii="宋体" w:hAnsi="宋体" w:cs="宋体"/>
                <w:color w:val="000000"/>
                <w:szCs w:val="21"/>
              </w:rPr>
              <w:t xml:space="preserve">4</w:t>
            </w:r>
            <w:r>
              <w:rPr>
                <w:rFonts w:ascii="宋体" w:hAnsi="宋体" w:cs="宋体"/>
                <w:color w:val="000000"/>
                <w:szCs w:val="21"/>
              </w:rPr>
            </w:r>
            <w:r/>
          </w:p>
        </w:tc>
      </w:tr>
      <w:tr>
        <w:trPr>
          <w:cantSplit/>
        </w:trPr>
        <w:tc>
          <w:tcPr>
            <w:tcW w:w="822" w:type="dxa"/>
            <w:vAlign w:val="center"/>
            <w:vMerge w:val="restart"/>
            <w:textDirection w:val="lrTb"/>
            <w:noWrap/>
          </w:tcPr>
          <w:p>
            <w:pPr>
              <w:pStyle w:val="1275"/>
              <w:jc w:val="center"/>
              <w:spacing w:line="48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1" w:type="dxa"/>
            <w:vAlign w:val="center"/>
            <w:vMerge w:val="restart"/>
            <w:textDirection w:val="lrTb"/>
            <w:noWrap/>
          </w:tcPr>
          <w:p>
            <w:pPr>
              <w:pStyle w:val="1275"/>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275"/>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275"/>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275"/>
              <w:jc w:val="center"/>
              <w:spacing w:line="480" w:lineRule="exact"/>
              <w:rPr>
                <w:rFonts w:ascii="宋体" w:hAnsi="宋体" w:cs="宋体"/>
                <w:szCs w:val="21"/>
              </w:rPr>
            </w:pPr>
            <w:r>
              <w:rPr>
                <w:rFonts w:ascii="宋体" w:hAnsi="宋体" w:cs="宋体"/>
                <w:szCs w:val="21"/>
              </w:rPr>
              <w:t xml:space="preserve">1</w:t>
            </w:r>
            <w:r>
              <w:rPr>
                <w:rFonts w:ascii="宋体" w:hAnsi="宋体" w:cs="宋体"/>
                <w:szCs w:val="21"/>
              </w:rPr>
            </w:r>
            <w:r/>
          </w:p>
        </w:tc>
      </w:tr>
      <w:tr>
        <w:trPr>
          <w:cantSplit/>
        </w:trPr>
        <w:tc>
          <w:tcPr>
            <w:tcW w:w="822" w:type="dxa"/>
            <w:vAlign w:val="center"/>
            <w:vMerge w:val="continue"/>
            <w:textDirection w:val="lrTb"/>
            <w:noWrap/>
          </w:tcPr>
          <w:p>
            <w:pPr>
              <w:pStyle w:val="1275"/>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275"/>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275"/>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275"/>
              <w:jc w:val="center"/>
              <w:spacing w:line="480" w:lineRule="exact"/>
              <w:rPr>
                <w:rFonts w:ascii="宋体" w:hAnsi="宋体" w:cs="宋体"/>
                <w:szCs w:val="21"/>
              </w:rPr>
            </w:pPr>
            <w:r>
              <w:rPr>
                <w:rFonts w:ascii="宋体" w:hAnsi="宋体" w:cs="宋体"/>
                <w:szCs w:val="21"/>
              </w:rPr>
              <w:t xml:space="preserve">1</w:t>
            </w:r>
            <w:r>
              <w:rPr>
                <w:rFonts w:ascii="宋体" w:hAnsi="宋体" w:cs="宋体"/>
                <w:szCs w:val="21"/>
              </w:rPr>
            </w:r>
            <w:r/>
          </w:p>
        </w:tc>
      </w:tr>
    </w:tbl>
    <w:p>
      <w:pPr>
        <w:pStyle w:val="1275"/>
        <w:jc w:val="left"/>
        <w:widowControl/>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rPr>
        <w:t xml:space="preserve">评审标准中涉及的</w:t>
      </w:r>
      <w:r>
        <w:rPr>
          <w:rFonts w:hint="eastAsia" w:ascii="宋体" w:hAnsi="宋体" w:cs="宋体"/>
          <w:b/>
          <w:bCs/>
          <w:color w:val="000000"/>
          <w:szCs w:val="21"/>
        </w:rPr>
        <w:t xml:space="preserve">证明材料均需附入投标文件内（</w:t>
      </w:r>
      <w:r>
        <w:rPr>
          <w:rFonts w:hint="eastAsia" w:ascii="宋体" w:hAnsi="宋体" w:cs="宋体"/>
          <w:b/>
          <w:bCs/>
          <w:szCs w:val="21"/>
        </w:rPr>
        <w:t xml:space="preserve">复印件加盖公章</w:t>
      </w:r>
      <w:r>
        <w:rPr>
          <w:rFonts w:hint="eastAsia" w:ascii="宋体" w:hAnsi="宋体" w:cs="宋体"/>
          <w:b/>
          <w:bCs/>
          <w:color w:val="000000"/>
          <w:szCs w:val="21"/>
        </w:rPr>
        <w:t xml:space="preserve">）</w:t>
      </w:r>
      <w:r>
        <w:rPr>
          <w:rFonts w:hint="eastAsia" w:ascii="宋体" w:hAnsi="宋体" w:cs="宋体"/>
          <w:b/>
          <w:color w:val="000000"/>
        </w:rPr>
        <w:t xml:space="preserve">。</w:t>
      </w:r>
      <w:r>
        <w:rPr>
          <w:rFonts w:hint="eastAsia" w:ascii="宋体" w:hAnsi="宋体" w:cs="宋体"/>
          <w:b/>
          <w:color w:val="000000"/>
          <w:szCs w:val="21"/>
        </w:rPr>
      </w:r>
      <w:r/>
    </w:p>
    <w:p>
      <w:pPr>
        <w:pStyle w:val="1275"/>
        <w:jc w:val="center"/>
        <w:spacing w:line="440" w:lineRule="exact"/>
        <w:rPr>
          <w:rFonts w:ascii="Arial" w:hAnsi="Arial" w:eastAsia="黑体" w:cs="Arial"/>
          <w:b/>
          <w:sz w:val="28"/>
          <w:szCs w:val="28"/>
        </w:rPr>
        <w:outlineLvl w:val="0"/>
      </w:pPr>
      <w:r>
        <w:rPr>
          <w:rFonts w:ascii="Arial" w:hAnsi="Arial" w:eastAsia="黑体" w:cs="Arial"/>
          <w:b/>
          <w:sz w:val="28"/>
          <w:szCs w:val="28"/>
        </w:rPr>
        <w:br w:type="page" w:clear="all"/>
      </w:r>
      <w:bookmarkStart w:id="241" w:name="_Toc13223"/>
      <w:r>
        <w:rPr>
          <w:rFonts w:ascii="Arial" w:hAnsi="Arial" w:eastAsia="黑体" w:cs="Arial"/>
          <w:b/>
          <w:sz w:val="28"/>
          <w:szCs w:val="28"/>
        </w:rPr>
        <w:t xml:space="preserve">第四章 </w:t>
      </w:r>
      <w:r>
        <w:rPr>
          <w:rFonts w:hint="eastAsia" w:ascii="Arial" w:hAnsi="Arial" w:eastAsia="黑体" w:cs="Arial"/>
          <w:b/>
          <w:sz w:val="28"/>
          <w:szCs w:val="28"/>
        </w:rPr>
        <w:t xml:space="preserve">招标技术规格及要求</w:t>
      </w:r>
      <w:bookmarkEnd w:id="241"/>
      <w:r>
        <w:rPr>
          <w:rFonts w:ascii="Arial" w:hAnsi="Arial" w:eastAsia="黑体" w:cs="Arial"/>
          <w:b/>
          <w:sz w:val="28"/>
          <w:szCs w:val="28"/>
        </w:rPr>
      </w:r>
      <w:r/>
    </w:p>
    <w:p>
      <w:pPr>
        <w:pStyle w:val="1277"/>
        <w:spacing w:before="20" w:after="20" w:line="360" w:lineRule="auto"/>
        <w:rPr>
          <w:rFonts w:hint="eastAsia" w:ascii="宋体" w:hAnsi="宋体" w:eastAsia="宋体" w:cs="宋体"/>
          <w:bCs w:val="0"/>
          <w:sz w:val="21"/>
          <w:szCs w:val="21"/>
        </w:rPr>
      </w:pPr>
      <w:r/>
      <w:bookmarkStart w:id="242" w:name="_Toc24641"/>
      <w:r/>
      <w:bookmarkStart w:id="243" w:name="_Toc12081"/>
      <w:r/>
      <w:bookmarkStart w:id="244" w:name="_Toc1406"/>
      <w:r/>
      <w:bookmarkStart w:id="245" w:name="_Toc2516"/>
      <w:r>
        <w:rPr>
          <w:rFonts w:hint="eastAsia" w:ascii="宋体" w:hAnsi="宋体" w:eastAsia="宋体" w:cs="宋体"/>
          <w:bCs w:val="0"/>
          <w:sz w:val="21"/>
          <w:szCs w:val="21"/>
        </w:rPr>
        <w:t xml:space="preserve">一、项目基本情况</w:t>
      </w:r>
      <w:bookmarkEnd w:id="242"/>
      <w:r/>
      <w:bookmarkEnd w:id="243"/>
      <w:r/>
      <w:bookmarkEnd w:id="244"/>
      <w:r>
        <w:rPr>
          <w:rFonts w:hint="eastAsia" w:ascii="宋体" w:hAnsi="宋体" w:eastAsia="宋体" w:cs="宋体"/>
          <w:bCs w:val="0"/>
          <w:sz w:val="21"/>
          <w:szCs w:val="21"/>
        </w:rPr>
      </w:r>
      <w:r/>
    </w:p>
    <w:p>
      <w:pPr>
        <w:pStyle w:val="1275"/>
        <w:ind w:firstLine="420"/>
        <w:spacing w:line="360" w:lineRule="auto"/>
        <w:rPr>
          <w:rFonts w:hint="eastAsia" w:ascii="宋体" w:hAnsi="宋体" w:cs="宋体"/>
          <w:color w:val="ff0000"/>
          <w:szCs w:val="21"/>
        </w:rPr>
      </w:pPr>
      <w:r>
        <w:rPr>
          <w:rFonts w:hint="eastAsia" w:ascii="宋体" w:hAnsi="宋体" w:cs="宋体"/>
          <w:szCs w:val="21"/>
        </w:rPr>
        <w:t xml:space="preserve">1.项目编号：2640SUMEC/ZWGG202</w:t>
      </w:r>
      <w:r>
        <w:rPr>
          <w:rFonts w:hint="eastAsia" w:ascii="宋体" w:hAnsi="宋体" w:cs="宋体"/>
          <w:szCs w:val="21"/>
          <w:highlight w:val="none"/>
        </w:rPr>
        <w:t xml:space="preserve">6（</w:t>
      </w:r>
      <w:r>
        <w:rPr>
          <w:rFonts w:hint="eastAsia" w:ascii="宋体" w:hAnsi="宋体" w:cs="宋体"/>
          <w:szCs w:val="21"/>
          <w:highlight w:val="none"/>
          <w:lang w:eastAsia="zh-CN"/>
        </w:rPr>
        <w:t xml:space="preserve">JSZC-320000-SMDY-G2026-0008</w:t>
      </w:r>
      <w:r>
        <w:rPr>
          <w:rFonts w:hint="eastAsia" w:ascii="宋体" w:hAnsi="宋体" w:cs="宋体"/>
          <w:szCs w:val="21"/>
          <w:highlight w:val="none"/>
        </w:rPr>
        <w:t xml:space="preserve">）</w:t>
      </w:r>
      <w:r>
        <w:rPr>
          <w:rFonts w:hint="eastAsia" w:ascii="宋体" w:hAnsi="宋体" w:cs="宋体"/>
          <w:color w:val="ff0000"/>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2.项目名称：高频微波场强标准装置等设备采购</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3.预算金额：人民币246.566万元</w:t>
      </w:r>
      <w:r>
        <w:rPr>
          <w:rFonts w:hint="eastAsia" w:ascii="宋体" w:hAnsi="宋体" w:cs="宋体"/>
          <w:szCs w:val="21"/>
        </w:rPr>
      </w:r>
      <w:r/>
    </w:p>
    <w:p>
      <w:pPr>
        <w:pStyle w:val="1275"/>
        <w:ind w:firstLine="420"/>
        <w:spacing w:line="360" w:lineRule="auto"/>
        <w:rPr>
          <w:rFonts w:hint="eastAsia" w:ascii="宋体" w:hAnsi="宋体" w:cs="宋体"/>
          <w:szCs w:val="21"/>
          <w:highlight w:val="none"/>
        </w:rPr>
      </w:pPr>
      <w:r>
        <w:rPr>
          <w:rFonts w:hint="eastAsia" w:ascii="宋体" w:hAnsi="宋体" w:cs="宋体"/>
          <w:szCs w:val="21"/>
        </w:rPr>
        <w:t xml:space="preserve">4.最高限价：详见采购</w:t>
      </w:r>
      <w:r>
        <w:rPr>
          <w:rFonts w:hint="eastAsia" w:ascii="宋体" w:hAnsi="宋体" w:cs="宋体"/>
          <w:szCs w:val="21"/>
          <w:highlight w:val="none"/>
        </w:rPr>
        <w:t xml:space="preserve">需求</w:t>
      </w:r>
      <w:r>
        <w:rPr>
          <w:rFonts w:hint="eastAsia"/>
          <w:highlight w:val="none"/>
        </w:rPr>
        <w:t xml:space="preserve">，超过对应品目最高限价的将作无效投标处理。</w:t>
      </w:r>
      <w:r>
        <w:rPr>
          <w:rFonts w:hint="eastAsia" w:ascii="宋体" w:hAnsi="宋体" w:cs="宋体"/>
          <w:szCs w:val="21"/>
          <w:highlight w:val="none"/>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8"/>
        <w:gridCol w:w="3414"/>
        <w:gridCol w:w="946"/>
        <w:gridCol w:w="1200"/>
        <w:gridCol w:w="2138"/>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数量（套/台）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高频微波场强标准装置</w:t>
            </w:r>
            <w:r>
              <w:rPr>
                <w:rFonts w:hint="eastAsia" w:ascii="宋体" w:hAnsi="宋体" w:cs="宋体"/>
                <w:b/>
                <w:bCs/>
                <w:color w:val="ff0000"/>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ascii="宋体" w:hAnsi="宋体" w:cs="宋体"/>
              </w:rPr>
            </w:pPr>
            <w:r>
              <w:rPr>
                <w:rFonts w:hint="eastAsia" w:ascii="宋体" w:hAnsi="宋体" w:cs="宋体"/>
              </w:rPr>
              <w:t xml:space="preserve">110.70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1275"/>
              <w:jc w:val="center"/>
              <w:rPr>
                <w:rFonts w:hint="eastAsia" w:ascii="宋体" w:hAnsi="宋体" w:cs="宋体"/>
              </w:rPr>
            </w:pPr>
            <w:r>
              <w:rPr>
                <w:rFonts w:hint="eastAsia" w:ascii="宋体" w:hAnsi="宋体" w:cs="宋体"/>
              </w:rPr>
              <w:t xml:space="preserve">合同签订后4个月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测试场地检测装置</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ascii="宋体" w:hAnsi="宋体" w:cs="宋体"/>
              </w:rPr>
            </w:pPr>
            <w:r>
              <w:rPr>
                <w:rFonts w:hint="eastAsia" w:ascii="宋体" w:hAnsi="宋体" w:cs="宋体"/>
              </w:rPr>
              <w:t xml:space="preserve">83.10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1275"/>
              <w:jc w:val="center"/>
              <w:rPr>
                <w:rFonts w:hint="eastAsia" w:ascii="宋体" w:hAnsi="宋体" w:cs="宋体"/>
              </w:rPr>
            </w:pPr>
            <w:r>
              <w:rPr>
                <w:rFonts w:hint="eastAsia" w:ascii="宋体" w:hAnsi="宋体" w:cs="宋体"/>
              </w:rPr>
              <w:t xml:space="preserve">合同签订后2个月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5"/>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275"/>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14"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数据中心能效检测装置</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275"/>
              <w:jc w:val="center"/>
              <w:rPr>
                <w:rFonts w:hint="eastAsia" w:ascii="宋体" w:hAnsi="宋体" w:cs="宋体"/>
              </w:rPr>
            </w:pPr>
            <w:r>
              <w:rPr>
                <w:rFonts w:hint="eastAsia" w:ascii="宋体" w:hAnsi="宋体" w:cs="宋体"/>
              </w:rPr>
              <w:t xml:space="preserve">52.766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1275"/>
              <w:jc w:val="center"/>
              <w:rPr>
                <w:rFonts w:hint="eastAsia" w:ascii="宋体" w:hAnsi="宋体" w:cs="宋体"/>
              </w:rPr>
            </w:pPr>
            <w:r>
              <w:rPr>
                <w:rFonts w:hint="eastAsia" w:ascii="宋体" w:hAnsi="宋体" w:cs="宋体"/>
              </w:rPr>
              <w:t xml:space="preserve">合同签订后3个月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275"/>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275"/>
        <w:ind w:firstLine="420"/>
        <w:spacing w:line="360" w:lineRule="auto"/>
        <w:rPr>
          <w:rFonts w:hint="eastAsia" w:ascii="宋体" w:hAnsi="宋体" w:cs="宋体"/>
          <w:szCs w:val="21"/>
        </w:rPr>
      </w:pPr>
      <w:r>
        <w:rPr>
          <w:rFonts w:hint="eastAsia" w:ascii="宋体" w:hAnsi="宋体" w:cs="宋体"/>
          <w:szCs w:val="21"/>
        </w:rPr>
        <w:t xml:space="preserve">★6.合同履行期限：详见采购需求。</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275"/>
        <w:spacing w:line="360" w:lineRule="auto"/>
        <w:rPr>
          <w:rFonts w:hint="eastAsia" w:ascii="宋体" w:hAnsi="宋体" w:cs="宋体"/>
          <w:b/>
          <w:szCs w:val="21"/>
        </w:rPr>
      </w:pPr>
      <w:r>
        <w:rPr>
          <w:rFonts w:hint="eastAsia" w:ascii="宋体" w:hAnsi="宋体" w:cs="宋体"/>
          <w:b/>
          <w:szCs w:val="21"/>
        </w:rPr>
      </w:r>
      <w:r/>
    </w:p>
    <w:p>
      <w:pPr>
        <w:pStyle w:val="1275"/>
        <w:spacing w:line="360" w:lineRule="auto"/>
        <w:rPr>
          <w:rFonts w:hint="eastAsia" w:eastAsia="宋体"/>
          <w:lang w:val="de-DE" w:eastAsia="zh-CN"/>
        </w:rPr>
        <w:outlineLvl w:val="1"/>
      </w:pPr>
      <w:r/>
      <w:bookmarkStart w:id="246" w:name="_Toc2272"/>
      <w:r/>
      <w:bookmarkStart w:id="247" w:name="_Toc18656"/>
      <w:r/>
      <w:bookmarkStart w:id="248" w:name="_Toc30611"/>
      <w:r>
        <w:rPr>
          <w:rFonts w:hint="eastAsia"/>
          <w:lang w:val="de-DE"/>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46"/>
      <w:r/>
      <w:bookmarkEnd w:id="247"/>
      <w:r>
        <w:rPr>
          <w:rFonts w:hint="eastAsia" w:ascii="宋体" w:hAnsi="宋体" w:cs="宋体"/>
          <w:b/>
          <w:bCs/>
          <w:color w:val="ff0000"/>
          <w:szCs w:val="21"/>
          <w:lang w:eastAsia="zh-CN"/>
        </w:rPr>
        <w:t xml:space="preserve">（技术及商务响应评分项）</w:t>
      </w:r>
      <w:bookmarkEnd w:id="248"/>
      <w:r>
        <w:rPr>
          <w:rFonts w:hint="eastAsia" w:eastAsia="宋体"/>
          <w:lang w:val="de-DE" w:eastAsia="zh-CN"/>
        </w:rPr>
      </w:r>
      <w:r/>
    </w:p>
    <w:p>
      <w:pPr>
        <w:pStyle w:val="1275"/>
        <w:jc w:val="center"/>
        <w:spacing w:before="156" w:line="440" w:lineRule="exact"/>
        <w:rPr>
          <w:rFonts w:hint="eastAsia" w:ascii="宋体" w:hAnsi="宋体" w:cs="宋体"/>
          <w:b/>
          <w:szCs w:val="21"/>
        </w:rPr>
        <w:outlineLvl w:val="1"/>
      </w:pPr>
      <w:r/>
      <w:bookmarkStart w:id="249" w:name="_Toc31676"/>
      <w:r/>
      <w:bookmarkStart w:id="250" w:name="_Toc11066"/>
      <w:r>
        <w:rPr>
          <w:rFonts w:hint="eastAsia" w:ascii="宋体" w:hAnsi="宋体" w:cs="宋体"/>
          <w:b/>
          <w:szCs w:val="21"/>
        </w:rPr>
        <w:t xml:space="preserve">品目1 高频微波场强标准装置</w:t>
      </w:r>
      <w:bookmarkEnd w:id="249"/>
      <w:r/>
      <w:bookmarkEnd w:id="250"/>
      <w:r>
        <w:rPr>
          <w:rFonts w:hint="eastAsia" w:ascii="宋体" w:hAnsi="宋体" w:cs="宋体"/>
          <w:b/>
          <w:szCs w:val="21"/>
        </w:rPr>
      </w:r>
      <w:r/>
    </w:p>
    <w:p>
      <w:pPr>
        <w:pStyle w:val="1275"/>
        <w:spacing w:line="360" w:lineRule="auto"/>
        <w:tabs>
          <w:tab w:val="left" w:pos="4500" w:leader="none"/>
          <w:tab w:val="left" w:pos="4680" w:leader="none"/>
        </w:tabs>
        <w:rPr>
          <w:rFonts w:hint="eastAsia"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（一）设备及明细配置清单</w:t>
      </w:r>
      <w:r>
        <w:rPr>
          <w:rFonts w:hint="eastAsia"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3310"/>
        <w:gridCol w:w="1173"/>
        <w:gridCol w:w="1666"/>
        <w:gridCol w:w="1463"/>
        <w:gridCol w:w="1356"/>
      </w:tblGrid>
      <w:tr>
        <w:trPr>
          <w:trHeight w:val="389"/>
        </w:trPr>
        <w:tc>
          <w:tcPr>
            <w:tcW w:w="448" w:type="dxa"/>
            <w:vAlign w:val="center"/>
            <w:textDirection w:val="lrTb"/>
            <w:noWrap w:val="false"/>
          </w:tcPr>
          <w:p>
            <w:pPr>
              <w:pStyle w:val="1275"/>
              <w:ind w:right="141"/>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设    备    名    称</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数 量</w:t>
            </w:r>
            <w:r>
              <w:rPr>
                <w:rFonts w:hint="eastAsia" w:ascii="宋体" w:hAnsi="宋体" w:cs="宋体"/>
                <w:color w:val="000000"/>
                <w:szCs w:val="21"/>
              </w:rPr>
            </w:r>
            <w:r/>
          </w:p>
        </w:tc>
        <w:tc>
          <w:tcPr>
            <w:tcW w:w="845"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szCs w:val="21"/>
              </w:rPr>
              <w:t xml:space="preserve">合同履行期限（交货期）</w:t>
            </w:r>
            <w:r>
              <w:rPr>
                <w:rFonts w:hint="eastAsia" w:ascii="宋体" w:hAnsi="宋体" w:cs="宋体"/>
                <w:color w:val="000000"/>
                <w:szCs w:val="21"/>
              </w:rPr>
            </w:r>
            <w:r/>
          </w:p>
        </w:tc>
        <w:tc>
          <w:tcPr>
            <w:tcW w:w="742"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质保期</w:t>
            </w:r>
            <w:r>
              <w:rPr>
                <w:rFonts w:hint="eastAsia" w:ascii="宋体" w:hAnsi="宋体" w:cs="宋体"/>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高频微波场强标准装置，不得低于以下配置：</w:t>
            </w:r>
            <w:r>
              <w:rPr>
                <w:rFonts w:hint="eastAsia" w:ascii="宋体" w:hAnsi="宋体" w:cs="宋体"/>
                <w:bCs/>
                <w:color w:val="000000"/>
                <w:szCs w:val="21"/>
              </w:rPr>
            </w:r>
            <w:r/>
          </w:p>
        </w:tc>
        <w:tc>
          <w:tcPr>
            <w:tcW w:w="595" w:type="dxa"/>
            <w:vAlign w:val="center"/>
            <w:textDirection w:val="lrTb"/>
            <w:noWrap w:val="false"/>
          </w:tcPr>
          <w:p>
            <w:pPr>
              <w:pStyle w:val="1275"/>
              <w:jc w:val="center"/>
              <w:keepNext/>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restart"/>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合同签订后</w:t>
            </w:r>
            <w:r>
              <w:rPr>
                <w:rFonts w:hint="eastAsia" w:ascii="宋体" w:hAnsi="宋体" w:cs="宋体"/>
                <w:bCs/>
                <w:color w:val="000000"/>
                <w:szCs w:val="21"/>
              </w:rPr>
            </w:r>
            <w:r/>
          </w:p>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4个月</w:t>
            </w:r>
            <w:r>
              <w:rPr>
                <w:rFonts w:hint="eastAsia" w:ascii="宋体" w:hAnsi="宋体" w:cs="宋体"/>
                <w:bCs/>
                <w:color w:val="000000"/>
                <w:szCs w:val="21"/>
              </w:rPr>
            </w:r>
            <w:r/>
          </w:p>
        </w:tc>
        <w:tc>
          <w:tcPr>
            <w:tcW w:w="742" w:type="dxa"/>
            <w:vAlign w:val="center"/>
            <w:vMerge w:val="restart"/>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验收合格后12个月</w:t>
            </w: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GTEM室场强校准系统</w:t>
            </w:r>
            <w:r>
              <w:rPr>
                <w:rFonts w:hint="eastAsia" w:ascii="宋体" w:hAnsi="宋体" w:cs="宋体"/>
                <w:bCs/>
                <w:color w:val="000000"/>
                <w:szCs w:val="21"/>
              </w:rPr>
            </w:r>
            <w:r/>
          </w:p>
        </w:tc>
        <w:tc>
          <w:tcPr>
            <w:tcW w:w="595" w:type="dxa"/>
            <w:vAlign w:val="center"/>
            <w:textDirection w:val="lrTb"/>
            <w:noWrap w:val="false"/>
          </w:tcPr>
          <w:p>
            <w:pPr>
              <w:pStyle w:val="1275"/>
              <w:jc w:val="center"/>
              <w:keepNext/>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1.1</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GTEM室</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bookmarkStart w:id="251" w:name="OLE_LINK5"/>
            <w:r/>
            <w:bookmarkStart w:id="252" w:name="OLE_LINK4"/>
            <w:r>
              <w:rPr>
                <w:rFonts w:hint="eastAsia" w:ascii="宋体" w:hAnsi="宋体" w:cs="宋体"/>
                <w:bCs/>
                <w:color w:val="000000"/>
                <w:szCs w:val="21"/>
              </w:rPr>
              <w:t xml:space="preserve">个</w:t>
            </w:r>
            <w:bookmarkEnd w:id="251"/>
            <w:r/>
            <w:bookmarkEnd w:id="252"/>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1.2</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探头卡具</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1.3</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功率放大器</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1台</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1.4</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测量控制软件</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TEM室场强校准系统</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2.1</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TEM室1</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2.2</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TEM室2</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2.3</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探头卡具及旋转装置</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2.4</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color w:val="000000"/>
                <w:szCs w:val="21"/>
              </w:rPr>
              <w:t xml:space="preserve">自动化测量软件</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2.5</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传递电场探头</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2.6</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定向耦合器</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2.7</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大功率衰减器</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2.8</w:t>
            </w:r>
            <w:r>
              <w:rPr>
                <w:rFonts w:hint="eastAsia" w:ascii="宋体" w:hAnsi="宋体" w:cs="宋体"/>
                <w:bCs/>
                <w:color w:val="000000"/>
                <w:szCs w:val="21"/>
              </w:rPr>
            </w:r>
            <w:r/>
          </w:p>
        </w:tc>
        <w:tc>
          <w:tcPr>
            <w:tcW w:w="1679" w:type="dxa"/>
            <w:vAlign w:val="center"/>
            <w:textDirection w:val="lrTb"/>
            <w:noWrap w:val="false"/>
          </w:tcPr>
          <w:p>
            <w:pPr>
              <w:pStyle w:val="1275"/>
              <w:jc w:val="center"/>
              <w:spacing w:line="360" w:lineRule="auto"/>
              <w:rPr>
                <w:rFonts w:hint="eastAsia" w:ascii="宋体" w:hAnsi="宋体" w:cs="宋体"/>
                <w:color w:val="000000"/>
                <w:szCs w:val="21"/>
              </w:rPr>
            </w:pPr>
            <w:r>
              <w:rPr>
                <w:rFonts w:hint="eastAsia" w:ascii="宋体" w:hAnsi="宋体" w:cs="宋体"/>
                <w:color w:val="000000"/>
                <w:szCs w:val="21"/>
              </w:rPr>
              <w:t xml:space="preserve">辅助设备</w:t>
            </w:r>
            <w:r>
              <w:rPr>
                <w:rFonts w:hint="eastAsia" w:ascii="宋体" w:hAnsi="宋体" w:cs="宋体"/>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pStyle w:val="1275"/>
        <w:jc w:val="center"/>
        <w:spacing w:line="360" w:lineRule="auto"/>
        <w:rPr>
          <w:rFonts w:ascii="宋体" w:hAnsi="宋体" w:cs="宋体"/>
          <w:szCs w:val="21"/>
        </w:rPr>
      </w:pPr>
      <w:r>
        <w:rPr>
          <w:rFonts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1.GTEM室场强校准系统</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 GTEM室（改造）</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1.1.1 频率范围：10 MHz～1 GHz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1.1.2 VSWR（典型值）：≤1.5</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★1.1.3 测试区域时域阻抗：(50±2) Ω</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★1.1.4 40cm*40cm*40cm均匀区：＜5dB</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1.2 探头卡具</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1.2.1 可实现上下升降、旋转，满足市场上绝大多数待测样的固定与安装。</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1.2.2 数量至少4套，兼容市面上的待测样品类型。</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功率放大器</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1.3.1 频率范围：9kHz至250MHz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1.3.2 额定功率：≥125W</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1.3.3 增益平坦度：±2.5dB</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1.3.4 谐波失真：＜-20dBc</w:t>
      </w:r>
      <w:r>
        <w:rPr>
          <w:rFonts w:hint="eastAsia" w:ascii="宋体" w:hAnsi="宋体" w:cs="宋体"/>
          <w:szCs w:val="21"/>
        </w:rPr>
      </w:r>
      <w:r/>
    </w:p>
    <w:p>
      <w:pPr>
        <w:pStyle w:val="1275"/>
        <w:ind w:firstLine="638"/>
        <w:spacing w:line="360" w:lineRule="auto"/>
        <w:rPr>
          <w:rFonts w:hint="eastAsia" w:ascii="宋体" w:hAnsi="宋体" w:cs="宋体"/>
          <w:szCs w:val="21"/>
          <w:highlight w:val="none"/>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测量</w:t>
      </w:r>
      <w:r>
        <w:rPr>
          <w:rFonts w:hint="eastAsia" w:ascii="宋体" w:hAnsi="宋体" w:cs="宋体"/>
          <w:szCs w:val="21"/>
          <w:highlight w:val="none"/>
        </w:rPr>
        <w:t xml:space="preserve">软件</w:t>
      </w:r>
      <w:r>
        <w:rPr>
          <w:rFonts w:hint="eastAsia" w:ascii="宋体" w:hAnsi="宋体" w:cs="宋体"/>
          <w:szCs w:val="21"/>
          <w:highlight w:val="none"/>
        </w:rPr>
      </w:r>
      <w:r/>
    </w:p>
    <w:p>
      <w:pPr>
        <w:pStyle w:val="1275"/>
        <w:ind w:firstLine="638"/>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★1.4.1结合买方实验室现有设备（信号发生器、功率计/功率探头、功率放大器等）可以实现电场强度、各向同性参数的自动、半自动化校准。</w:t>
      </w:r>
      <w:r>
        <w:rPr>
          <w:rFonts w:hint="eastAsia" w:ascii="宋体" w:hAnsi="宋体" w:cs="宋体"/>
          <w:b/>
          <w:bCs/>
          <w:szCs w:val="21"/>
          <w:highlight w:val="none"/>
          <w:lang w:eastAsia="zh-CN"/>
        </w:rPr>
        <w:t xml:space="preserve">（提供承诺函加盖公章）</w:t>
      </w:r>
      <w:r>
        <w:rPr>
          <w:rFonts w:hint="eastAsia" w:ascii="宋体" w:hAnsi="宋体" w:eastAsia="宋体" w:cs="宋体"/>
          <w:szCs w:val="21"/>
          <w:highlight w:val="none"/>
          <w:lang w:eastAsia="zh-CN"/>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1.4.2满足GTEM室TEM模验证的场均匀性检测。</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2.TEM室场强校准系统</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2.1 TEM室1</w:t>
      </w:r>
      <w:r>
        <w:rPr>
          <w:rFonts w:hint="eastAsia" w:ascii="宋体" w:hAnsi="宋体" w:cs="宋体"/>
          <w:szCs w:val="21"/>
        </w:rPr>
      </w:r>
      <w:r/>
    </w:p>
    <w:p>
      <w:pPr>
        <w:pStyle w:val="1275"/>
        <w:ind w:firstLine="638"/>
        <w:spacing w:line="360" w:lineRule="auto"/>
        <w:rPr>
          <w:rFonts w:hint="eastAsia" w:ascii="宋体" w:hAnsi="宋体" w:cs="宋体"/>
          <w:szCs w:val="21"/>
        </w:rPr>
      </w:pPr>
      <w:r/>
      <w:bookmarkStart w:id="253" w:name="OLE_LINK6"/>
      <w:r>
        <w:rPr>
          <w:rFonts w:hint="eastAsia" w:ascii="宋体" w:hAnsi="宋体" w:cs="宋体"/>
          <w:szCs w:val="21"/>
        </w:rPr>
        <w:t xml:space="preserve">2.1.1</w:t>
      </w:r>
      <w:bookmarkEnd w:id="253"/>
      <w:r>
        <w:rPr>
          <w:rFonts w:hint="eastAsia" w:ascii="宋体" w:hAnsi="宋体" w:cs="宋体"/>
          <w:szCs w:val="21"/>
        </w:rPr>
        <w:t xml:space="preserve"> 尺寸应不小于3.5m*1.9m*1.9m</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2.1.2 工作频率：9kHz至30MHz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2.1.3 芯板高度：0.91m</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2.1.4 端口VSWR：≤1.2</w:t>
      </w:r>
      <w:r>
        <w:rPr>
          <w:rFonts w:hint="eastAsia" w:ascii="宋体" w:hAnsi="宋体" w:cs="宋体"/>
          <w:szCs w:val="21"/>
        </w:rPr>
      </w:r>
      <w:r/>
    </w:p>
    <w:p>
      <w:pPr>
        <w:pStyle w:val="1275"/>
        <w:ind w:firstLine="638"/>
        <w:spacing w:line="360" w:lineRule="auto"/>
        <w:rPr>
          <w:rFonts w:hint="eastAsia" w:ascii="宋体" w:hAnsi="宋体" w:cs="宋体"/>
          <w:szCs w:val="21"/>
        </w:rPr>
      </w:pPr>
      <w:r/>
      <w:bookmarkStart w:id="254" w:name="OLE_LINK3"/>
      <w:r/>
      <w:bookmarkStart w:id="255" w:name="OLE_LINK12"/>
      <w:r>
        <w:rPr>
          <w:rFonts w:hint="eastAsia" w:ascii="宋体" w:hAnsi="宋体" w:cs="宋体"/>
          <w:szCs w:val="21"/>
        </w:rPr>
        <w:t xml:space="preserve">★</w:t>
      </w:r>
      <w:bookmarkEnd w:id="254"/>
      <w:r/>
      <w:bookmarkEnd w:id="255"/>
      <w:r>
        <w:rPr>
          <w:rFonts w:hint="eastAsia" w:ascii="宋体" w:hAnsi="宋体" w:cs="宋体"/>
          <w:szCs w:val="21"/>
        </w:rPr>
        <w:t xml:space="preserve">2.1.5 时域阻抗：(50±2) Ω</w:t>
      </w:r>
      <w:r>
        <w:rPr>
          <w:rFonts w:hint="eastAsia" w:ascii="宋体" w:hAnsi="宋体" w:cs="宋体"/>
          <w:szCs w:val="21"/>
        </w:rPr>
      </w:r>
      <w:r/>
    </w:p>
    <w:p>
      <w:pPr>
        <w:pStyle w:val="1275"/>
        <w:ind w:firstLine="638"/>
        <w:spacing w:line="360" w:lineRule="auto"/>
        <w:rPr>
          <w:rFonts w:hint="eastAsia" w:ascii="宋体" w:hAnsi="宋体" w:cs="宋体"/>
          <w:szCs w:val="21"/>
        </w:rPr>
      </w:pPr>
      <w:r>
        <w:rPr>
          <w:rFonts w:ascii="宋体" w:hAnsi="宋体" w:cs="宋体"/>
          <w:szCs w:val="21"/>
        </w:rPr>
        <w:t xml:space="preserve">2.2 </w:t>
      </w:r>
      <w:r>
        <w:rPr>
          <w:rFonts w:hint="eastAsia" w:ascii="宋体" w:hAnsi="宋体" w:cs="宋体"/>
          <w:szCs w:val="21"/>
        </w:rPr>
        <w:t xml:space="preserve">TEM室2</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2.2.1 尺寸应不小于2.0m*1.0m*0.5m</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2.2.2 工作频率：10kHz至200MHz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2.2.3 芯板高度：0.48m</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2.2.4 端口VSWR：≤1.2</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★2.2.5 时域阻抗：(50±0.5) Ω</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.3 </w:t>
      </w:r>
      <w:r>
        <w:rPr>
          <w:rFonts w:hint="eastAsia" w:ascii="宋体" w:hAnsi="宋体" w:cs="宋体"/>
          <w:szCs w:val="21"/>
        </w:rPr>
        <w:t xml:space="preserve">探头卡具及旋转装置</w:t>
      </w:r>
      <w:r>
        <w:rPr>
          <w:rFonts w:hint="eastAsia" w:ascii="宋体" w:hAnsi="宋体" w:cs="宋体"/>
          <w:szCs w:val="21"/>
        </w:rPr>
      </w:r>
      <w:r/>
    </w:p>
    <w:p>
      <w:pPr>
        <w:pStyle w:val="1275"/>
        <w:ind w:firstLine="638"/>
        <w:spacing w:line="360" w:lineRule="auto"/>
        <w:rPr>
          <w:rFonts w:hint="eastAsia" w:ascii="宋体" w:hAnsi="宋体" w:cs="宋体"/>
          <w:szCs w:val="21"/>
        </w:rPr>
      </w:pPr>
      <w:r/>
      <w:bookmarkStart w:id="256" w:name="OLE_LINK7"/>
      <w:r/>
      <w:bookmarkStart w:id="257" w:name="OLE_LINK8"/>
      <w:r>
        <w:rPr>
          <w:rFonts w:hint="eastAsia" w:ascii="宋体" w:hAnsi="宋体" w:cs="宋体"/>
          <w:szCs w:val="21"/>
        </w:rPr>
        <w:t xml:space="preserve">2.3.1</w:t>
      </w:r>
      <w:bookmarkEnd w:id="256"/>
      <w:r/>
      <w:bookmarkEnd w:id="257"/>
      <w:r>
        <w:rPr>
          <w:rFonts w:hint="eastAsia" w:ascii="宋体" w:hAnsi="宋体" w:cs="宋体"/>
          <w:szCs w:val="21"/>
        </w:rPr>
        <w:t xml:space="preserve"> 可实现上下升降、旋转；旋转角度为（0～360）°；</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2.3.2 数量至少4套，兼容市面上的待测样品类型。</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2.4 自动化测量软件，结合买方实验室现有设备（信号发生器、功率计/功率探头、功率放大器等）可以实现电场强度、各向同性参数的自动、半自动化校准。</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传递电场探头</w:t>
      </w:r>
      <w:r>
        <w:rPr>
          <w:rFonts w:hint="eastAsia" w:ascii="宋体" w:hAnsi="宋体" w:cs="宋体"/>
          <w:szCs w:val="21"/>
        </w:rPr>
      </w:r>
      <w:r/>
    </w:p>
    <w:p>
      <w:pPr>
        <w:pStyle w:val="1275"/>
        <w:ind w:firstLine="638"/>
        <w:spacing w:line="360" w:lineRule="auto"/>
        <w:rPr>
          <w:rFonts w:hint="eastAsia" w:ascii="宋体" w:hAnsi="宋体" w:cs="宋体"/>
          <w:szCs w:val="21"/>
        </w:rPr>
      </w:pPr>
      <w:r/>
      <w:bookmarkStart w:id="258" w:name="OLE_LINK9"/>
      <w:r>
        <w:rPr>
          <w:rFonts w:hint="eastAsia" w:ascii="宋体" w:hAnsi="宋体" w:cs="宋体"/>
          <w:szCs w:val="21"/>
        </w:rPr>
        <w:t xml:space="preserve">2.5.1</w:t>
      </w:r>
      <w:bookmarkEnd w:id="258"/>
      <w:r>
        <w:rPr>
          <w:rFonts w:hint="eastAsia" w:ascii="宋体" w:hAnsi="宋体" w:cs="宋体"/>
          <w:szCs w:val="21"/>
        </w:rPr>
        <w:t xml:space="preserve"> 频率范围：9kHz至6GHz；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2.5.2 电场强度：3V/m至200V/m；±1dB；</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2.5.3 各向同性：±1.5 dB；</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2.5.4 包括转换头、至少10m光纤。</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.6 </w:t>
      </w:r>
      <w:r>
        <w:rPr>
          <w:rFonts w:hint="eastAsia" w:ascii="宋体" w:hAnsi="宋体" w:cs="宋体"/>
          <w:szCs w:val="21"/>
        </w:rPr>
        <w:t xml:space="preserve">定向耦合器</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2.6.1 频率范围：9kHz至1GHz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2.6.2 额定功率：300W；</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2.6.3 耦合系数：40dB±1.5dB</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.7 </w:t>
      </w:r>
      <w:r>
        <w:rPr>
          <w:rFonts w:hint="eastAsia" w:ascii="宋体" w:hAnsi="宋体" w:cs="宋体"/>
          <w:szCs w:val="21"/>
        </w:rPr>
        <w:t xml:space="preserve">大功率衰减器</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2.7.1 频率范围DC至1000MHz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2.7.2 额定功率：200W,</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2.7.3 衰减量：40dB；</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2.8 辅助设备：满足系统所需要的射频线、转接头、通讯线、GPIB卡等，保证系统的完整交付使用。</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（三）验收依据、方法及单位</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1.GTEM室：依据JJF(通信)033-2019《横电磁波小室校准规范》、GB/T 17626.20-2014《电磁兼容试验和测量技术横电磁波(TEM)波导中的发射和抗扰度试验》进行验收，送至江苏省计量科学研究院检定校准；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2.功率放大器：依据JJF1678-2017《射频和微波功率放大器校准规范》进行验收，送至江苏省计量科学研究院检定校准；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3.TEM室1：依据NIM-ZY-XD-DJ-012 《横电磁波室、吉赫兹横电磁波室、带状线自编校准规范》进行验收，送至中国计量院检定校准；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4.TEM室2：</w:t>
      </w:r>
      <w:bookmarkStart w:id="259" w:name="OLE_LINK2"/>
      <w:r/>
      <w:bookmarkStart w:id="260" w:name="OLE_LINK1"/>
      <w:r>
        <w:rPr>
          <w:rFonts w:hint="eastAsia" w:ascii="宋体" w:hAnsi="宋体" w:cs="宋体"/>
          <w:szCs w:val="21"/>
        </w:rPr>
        <w:t xml:space="preserve">依据NIM-ZY-XD-DJ-012 《横电磁波室、吉赫兹横电磁波室、带状线自编校准规范》进行验收，送至中国计量院检定校准；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bookmarkEnd w:id="259"/>
      <w:r/>
      <w:bookmarkEnd w:id="260"/>
      <w:r>
        <w:rPr>
          <w:rFonts w:hint="eastAsia" w:ascii="宋体" w:hAnsi="宋体" w:cs="宋体"/>
          <w:szCs w:val="21"/>
        </w:rPr>
        <w:t xml:space="preserve">5.传递电场探头：依据JJF1886-2020《电场探头校准规范》、JJF1884-2020 《10kHz～100MHz电磁场探头校准规范》进行验收，送至中国计量院检定校准；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6.定向耦合器：依据JJF1680-2017 《定向耦合器及驻波比电桥校准规范》进行验收，送至江苏省计量科学研究院检定校准；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7.大功率衰减器：依据JJF2092-2024《射频与微波衰减器校准规范》进行验收，送至江苏省计量科学研究院检定校准；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8.其他设备/软件：功能检查，送至江苏省计量科学研究院验收；</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上述设备中，若由中国计量科学研究院检定/校准，卖方负责送检并承担全部费用。</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若由江苏省计量科学研究院检定/校准，验收合格费用由买方承担；验收不合格，费用由卖方承担。</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江苏省计量科学研究院根据以上证书、本技术文件对整套设备的技术指标和功能进行最终验收。</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（四）安装调试</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color w:val="000000"/>
          <w:szCs w:val="21"/>
        </w:rPr>
        <w:t xml:space="preserve">卖方向买方提供设备供货清单</w:t>
      </w:r>
      <w:r>
        <w:rPr>
          <w:color w:val="000000"/>
          <w:szCs w:val="21"/>
        </w:rPr>
        <w:t xml:space="preserve">，</w:t>
      </w:r>
      <w:r>
        <w:rPr>
          <w:rFonts w:hint="eastAsia"/>
          <w:color w:val="000000"/>
          <w:szCs w:val="21"/>
        </w:rPr>
        <w:t xml:space="preserve">交货地点为买方指定场所。</w:t>
      </w:r>
      <w:r>
        <w:rPr>
          <w:color w:val="000000"/>
          <w:szCs w:val="21"/>
        </w:rPr>
        <w:t xml:space="preserve">设备到货后，卖方应安排人员进行开箱、安装、调试等服务。</w:t>
      </w:r>
      <w:r>
        <w:rPr>
          <w:rFonts w:hint="eastAsia"/>
          <w:color w:val="000000"/>
          <w:szCs w:val="21"/>
        </w:rPr>
        <w:t xml:space="preserve">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引起的全部费用由卖方承担</w:t>
      </w:r>
      <w:r>
        <w:rPr>
          <w:rFonts w:hint="eastAsia" w:ascii="宋体" w:hAnsi="宋体" w:cs="宋体"/>
          <w:szCs w:val="21"/>
        </w:rPr>
        <w:t xml:space="preserve">。</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（五）人员培训要求</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color w:val="000000"/>
          <w:szCs w:val="21"/>
        </w:rPr>
        <w:t xml:space="preserve">卖方应提供不少于3天的专业技术培训。培训内容包括：基本理论、实验方法原理、软件操作、仪器使用、仪器维护、安全要点以及其他相关内容。卖方应提供详细的培训文件。所发生的培训费用由卖方承担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t xml:space="preserve">。</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六)技术支持以及售后服务</w:t>
      </w:r>
      <w:r>
        <w:rPr>
          <w:rFonts w:hint="eastAsia" w:ascii="宋体" w:hAnsi="宋体" w:cs="宋体"/>
          <w:b/>
          <w:bCs/>
          <w:szCs w:val="21"/>
        </w:rPr>
      </w:r>
      <w:r/>
    </w:p>
    <w:p>
      <w:pPr>
        <w:pStyle w:val="1275"/>
        <w:ind w:firstLine="420"/>
        <w:spacing w:line="360" w:lineRule="auto"/>
        <w:rPr>
          <w:rFonts w:hint="eastAsia"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1.高频微波场强标准装置的质保期为验收合格之日起12个月。</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2.质保期内，卖方提供免费包修、包换、包退服务，承担所有维修费用。质保期满后，原则上卖方技术人员上门维修只收取更换的零部费，不另收取工时费。</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卖方提供持续、广泛的技术支持，以及优惠的维修保养等售后服务，及时对买方遇到的技术问题或故障予以答复和修复。买方报修后，卖方应在24小时内作出响应，如果电话支持无法解决问题，则2天内卖方技术人员到现场进行维修。</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4.提供备用设备服务，如买方仪器发生故障，无法在短时间内修复，而买方急需使用仪器，如卖方有类似的设备, 卖方需无偿提供计量合格的备用设备，直到产品修理完成为止。</w:t>
      </w:r>
      <w:r>
        <w:rPr>
          <w:rFonts w:hint="eastAsia" w:ascii="宋体" w:hAnsi="宋体" w:cs="宋体"/>
          <w:szCs w:val="21"/>
        </w:rPr>
      </w:r>
      <w:r/>
    </w:p>
    <w:p>
      <w:pPr>
        <w:pStyle w:val="1275"/>
        <w:jc w:val="center"/>
        <w:spacing w:before="156" w:line="440" w:lineRule="exact"/>
        <w:rPr>
          <w:rFonts w:hint="eastAsia" w:ascii="宋体" w:hAnsi="宋体" w:cs="宋体"/>
          <w:b/>
          <w:szCs w:val="21"/>
        </w:rPr>
        <w:outlineLvl w:val="1"/>
      </w:pPr>
      <w:r/>
      <w:bookmarkStart w:id="261" w:name="_Toc8927"/>
      <w:r/>
      <w:bookmarkStart w:id="262" w:name="_Toc28802"/>
      <w:r>
        <w:rPr>
          <w:rFonts w:hint="eastAsia" w:ascii="宋体" w:hAnsi="宋体" w:cs="宋体"/>
          <w:b/>
          <w:szCs w:val="21"/>
        </w:rPr>
        <w:t xml:space="preserve">品目</w:t>
      </w:r>
      <w:r>
        <w:rPr>
          <w:rFonts w:ascii="宋体" w:hAnsi="宋体" w:cs="宋体"/>
          <w:b/>
          <w:szCs w:val="21"/>
        </w:rPr>
        <w:t xml:space="preserve">2 </w:t>
      </w:r>
      <w:r>
        <w:rPr>
          <w:rFonts w:hint="eastAsia" w:ascii="宋体" w:hAnsi="宋体" w:cs="宋体"/>
          <w:b/>
          <w:szCs w:val="21"/>
        </w:rPr>
        <w:t xml:space="preserve">测试场地检测装置</w:t>
      </w:r>
      <w:bookmarkEnd w:id="261"/>
      <w:r/>
      <w:bookmarkEnd w:id="262"/>
      <w:r>
        <w:rPr>
          <w:rFonts w:hint="eastAsia" w:ascii="宋体" w:hAnsi="宋体" w:cs="宋体"/>
          <w:b/>
          <w:szCs w:val="21"/>
        </w:rPr>
      </w:r>
      <w:r/>
    </w:p>
    <w:p>
      <w:pPr>
        <w:pStyle w:val="1275"/>
        <w:spacing w:line="360" w:lineRule="auto"/>
        <w:tabs>
          <w:tab w:val="left" w:pos="4500" w:leader="none"/>
          <w:tab w:val="left" w:pos="4680" w:leader="none"/>
        </w:tabs>
        <w:rPr>
          <w:rFonts w:hint="eastAsia"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（一）设备及明细配置清单</w:t>
      </w:r>
      <w:r>
        <w:rPr>
          <w:rFonts w:hint="eastAsia"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3201"/>
        <w:gridCol w:w="1173"/>
        <w:gridCol w:w="1666"/>
        <w:gridCol w:w="1463"/>
        <w:gridCol w:w="1356"/>
      </w:tblGrid>
      <w:tr>
        <w:trPr>
          <w:trHeight w:val="389"/>
        </w:trPr>
        <w:tc>
          <w:tcPr>
            <w:tcW w:w="503" w:type="dxa"/>
            <w:vAlign w:val="center"/>
            <w:textDirection w:val="lrTb"/>
            <w:noWrap w:val="false"/>
          </w:tcPr>
          <w:p>
            <w:pPr>
              <w:pStyle w:val="1275"/>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59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84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742"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89"/>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1624" w:type="dxa"/>
            <w:vAlign w:val="center"/>
            <w:textDirection w:val="lrTb"/>
            <w:noWrap w:val="false"/>
          </w:tcPr>
          <w:p>
            <w:pPr>
              <w:pStyle w:val="1275"/>
              <w:jc w:val="center"/>
              <w:rPr>
                <w:rFonts w:hint="eastAsia" w:ascii="宋体" w:hAnsi="宋体" w:cs="宋体"/>
                <w:bCs/>
                <w:color w:val="000000"/>
                <w:szCs w:val="21"/>
              </w:rPr>
            </w:pPr>
            <w:r>
              <w:rPr>
                <w:rFonts w:hint="eastAsia" w:ascii="宋体" w:hAnsi="宋体" w:cs="宋体"/>
                <w:bCs/>
                <w:color w:val="000000"/>
                <w:szCs w:val="21"/>
              </w:rPr>
              <w:t xml:space="preserve">测试场地检测装置，不得低于以下配置：</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restart"/>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合同签订后</w:t>
            </w:r>
            <w:r>
              <w:rPr>
                <w:rFonts w:hint="eastAsia" w:ascii="宋体" w:hAnsi="宋体" w:cs="宋体"/>
                <w:bCs/>
                <w:color w:val="000000"/>
                <w:szCs w:val="21"/>
              </w:rPr>
            </w:r>
            <w:r/>
          </w:p>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2个月</w:t>
            </w:r>
            <w:r>
              <w:rPr>
                <w:rFonts w:hint="eastAsia" w:ascii="宋体" w:hAnsi="宋体" w:cs="宋体"/>
                <w:bCs/>
                <w:color w:val="000000"/>
                <w:szCs w:val="21"/>
              </w:rPr>
            </w:r>
            <w:r/>
          </w:p>
        </w:tc>
        <w:tc>
          <w:tcPr>
            <w:tcW w:w="742" w:type="dxa"/>
            <w:vAlign w:val="center"/>
            <w:vMerge w:val="restart"/>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验收合格后12个月</w:t>
            </w: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1.1</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精密环天线</w:t>
            </w:r>
            <w:r>
              <w:rPr>
                <w:rFonts w:hint="eastAsia" w:ascii="宋体" w:hAnsi="宋体" w:cs="宋体"/>
                <w:bCs/>
                <w:color w:val="000000"/>
                <w:szCs w:val="21"/>
              </w:rPr>
            </w:r>
            <w:r/>
          </w:p>
        </w:tc>
        <w:tc>
          <w:tcPr>
            <w:tcW w:w="595" w:type="dxa"/>
            <w:vAlign w:val="center"/>
            <w:textDirection w:val="lrTb"/>
            <w:noWrap w:val="false"/>
          </w:tcPr>
          <w:p>
            <w:pPr>
              <w:pStyle w:val="1275"/>
              <w:jc w:val="center"/>
              <w:keepNext/>
              <w:spacing w:line="360" w:lineRule="auto"/>
              <w:rPr>
                <w:rFonts w:hint="eastAsia" w:ascii="宋体" w:hAnsi="宋体" w:cs="宋体"/>
                <w:bCs/>
                <w:color w:val="000000"/>
                <w:szCs w:val="21"/>
              </w:rPr>
              <w:outlineLvl w:val="0"/>
            </w:pPr>
            <w:r/>
            <w:bookmarkStart w:id="263" w:name="_Toc28679"/>
            <w:r/>
            <w:bookmarkStart w:id="264" w:name="_Toc4290"/>
            <w:r/>
            <w:bookmarkStart w:id="265" w:name="_Toc17957"/>
            <w:r>
              <w:rPr>
                <w:rFonts w:hint="eastAsia" w:ascii="宋体" w:hAnsi="宋体" w:cs="宋体"/>
                <w:bCs/>
                <w:color w:val="000000"/>
                <w:szCs w:val="21"/>
              </w:rPr>
              <w:t xml:space="preserve">1套</w:t>
            </w:r>
            <w:bookmarkEnd w:id="263"/>
            <w:r/>
            <w:bookmarkEnd w:id="264"/>
            <w:r/>
            <w:bookmarkEnd w:id="265"/>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1.2</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同轴电缆</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2根</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1.3</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电子校准件</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1.4</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NSIL测试软件</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1.5</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双锥天线(含天线巴伦)</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1支</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1.6</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对数周期天线</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1支</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1.7</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精密对称偶极子天线</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1支</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1.8</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天线塔</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1.9</w:t>
            </w:r>
            <w:r>
              <w:rPr>
                <w:rFonts w:hint="eastAsia" w:ascii="宋体" w:hAnsi="宋体" w:cs="宋体"/>
                <w:bCs/>
                <w:color w:val="000000"/>
                <w:szCs w:val="21"/>
              </w:rPr>
            </w:r>
            <w:r/>
          </w:p>
        </w:tc>
        <w:tc>
          <w:tcPr>
            <w:tcW w:w="1624"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运输箱</w:t>
            </w:r>
            <w:r>
              <w:rPr>
                <w:rFonts w:hint="eastAsia" w:ascii="宋体" w:hAnsi="宋体" w:cs="宋体"/>
                <w:bCs/>
                <w:color w:val="000000"/>
                <w:szCs w:val="21"/>
              </w:rPr>
            </w:r>
            <w:r/>
          </w:p>
        </w:tc>
        <w:tc>
          <w:tcPr>
            <w:tcW w:w="595"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10个</w:t>
            </w:r>
            <w:r>
              <w:rPr>
                <w:rFonts w:hint="eastAsia" w:ascii="宋体" w:hAnsi="宋体" w:cs="宋体"/>
                <w:bCs/>
                <w:color w:val="000000"/>
                <w:szCs w:val="21"/>
              </w:rPr>
            </w:r>
            <w:r/>
          </w:p>
        </w:tc>
        <w:tc>
          <w:tcPr>
            <w:tcW w:w="845"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275"/>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275"/>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275"/>
        <w:ind w:firstLine="422"/>
        <w:spacing w:line="360" w:lineRule="auto"/>
        <w:rPr>
          <w:rFonts w:hint="eastAsia" w:ascii="宋体" w:hAnsi="宋体" w:cs="宋体"/>
          <w:b/>
          <w:bCs/>
          <w:szCs w:val="21"/>
        </w:rPr>
      </w:pPr>
      <w:r>
        <w:rPr>
          <w:rFonts w:hint="eastAsia" w:ascii="宋体" w:hAnsi="宋体" w:cs="宋体"/>
          <w:b/>
          <w:bCs/>
          <w:szCs w:val="21"/>
        </w:rPr>
        <w:t xml:space="preserve">1.精密环天线</w:t>
      </w:r>
      <w:r>
        <w:rPr>
          <w:rFonts w:hint="eastAsia" w:ascii="宋体" w:hAnsi="宋体" w:cs="宋体"/>
          <w:b/>
          <w:bCs/>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1.1 频率范围：9kHz～30MHz</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★1.2 满足CISPR16-1-4：2023中NSIL的测试要求：</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天线对参考场地衰减（3m）：(0～55) dB；</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天线对参考场地衰减（5m）：（10～70) dB；</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天线对参考场地衰减（10m）：(25～70) dB。</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★1.3 含接收天线、发射天线、天线控制单元、去耦单元、充电器等。</w:t>
      </w:r>
      <w:r>
        <w:rPr>
          <w:rFonts w:hint="eastAsia" w:ascii="宋体" w:hAnsi="宋体" w:cs="宋体"/>
          <w:szCs w:val="21"/>
        </w:rPr>
      </w:r>
      <w:r/>
    </w:p>
    <w:p>
      <w:pPr>
        <w:pStyle w:val="1275"/>
        <w:ind w:firstLine="422"/>
        <w:spacing w:line="360" w:lineRule="auto"/>
        <w:rPr>
          <w:rFonts w:hint="eastAsia" w:ascii="宋体" w:hAnsi="宋体" w:cs="宋体"/>
          <w:b/>
          <w:bCs/>
          <w:szCs w:val="21"/>
        </w:rPr>
      </w:pPr>
      <w:r>
        <w:rPr>
          <w:rFonts w:hint="eastAsia" w:ascii="宋体" w:hAnsi="宋体" w:cs="宋体"/>
          <w:b/>
          <w:bCs/>
          <w:szCs w:val="21"/>
        </w:rPr>
        <w:t xml:space="preserve">2.同轴电缆</w:t>
      </w:r>
      <w:r>
        <w:rPr>
          <w:rFonts w:hint="eastAsia" w:ascii="宋体" w:hAnsi="宋体" w:cs="宋体"/>
          <w:b/>
          <w:bCs/>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2.1 频率范围：9kHz～30MHz；</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★2.2 插入损耗：0.5dB/m；</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2.3 驻波比小于1.3；</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2.4 磁环间距20cm；</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2.5 长度15m（数量1）、10m（数量1）。</w:t>
      </w:r>
      <w:r>
        <w:rPr>
          <w:rFonts w:hint="eastAsia" w:ascii="宋体" w:hAnsi="宋体" w:cs="宋体"/>
          <w:szCs w:val="21"/>
        </w:rPr>
      </w:r>
      <w:r/>
    </w:p>
    <w:p>
      <w:pPr>
        <w:pStyle w:val="1275"/>
        <w:ind w:firstLine="422"/>
        <w:spacing w:line="360" w:lineRule="auto"/>
        <w:rPr>
          <w:rFonts w:hint="eastAsia" w:ascii="宋体" w:hAnsi="宋体" w:cs="宋体"/>
          <w:b/>
          <w:bCs/>
          <w:szCs w:val="21"/>
        </w:rPr>
      </w:pPr>
      <w:r>
        <w:rPr>
          <w:rFonts w:hint="eastAsia" w:ascii="宋体" w:hAnsi="宋体" w:cs="宋体"/>
          <w:b/>
          <w:bCs/>
          <w:szCs w:val="21"/>
        </w:rPr>
        <w:t xml:space="preserve">3.电子校准件</w:t>
      </w:r>
      <w:r>
        <w:rPr>
          <w:rFonts w:hint="eastAsia" w:ascii="宋体" w:hAnsi="宋体" w:cs="宋体"/>
          <w:b/>
          <w:bCs/>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3.1 频率范围：100kHz～18GHz；</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3.2 方向性：≥39dB；</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3.3 源匹配和负载匹配：≥35dB；</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3.4 反射和传输：≤ 0.10dB 。</w:t>
      </w:r>
      <w:r>
        <w:rPr>
          <w:rFonts w:hint="eastAsia" w:ascii="宋体" w:hAnsi="宋体" w:cs="宋体"/>
          <w:szCs w:val="21"/>
        </w:rPr>
      </w:r>
      <w:r/>
    </w:p>
    <w:p>
      <w:pPr>
        <w:pStyle w:val="1275"/>
        <w:ind w:firstLine="420"/>
        <w:spacing w:line="360" w:lineRule="auto"/>
        <w:rPr>
          <w:rFonts w:hint="eastAsia" w:ascii="宋体" w:hAnsi="宋体" w:eastAsia="宋体" w:cs="宋体"/>
          <w:szCs w:val="21"/>
          <w:lang w:eastAsia="zh-CN"/>
        </w:rPr>
      </w:pPr>
      <w:r>
        <w:rPr>
          <w:rFonts w:hint="eastAsia" w:ascii="宋体" w:hAnsi="宋体" w:cs="宋体"/>
          <w:szCs w:val="21"/>
        </w:rPr>
        <w:t xml:space="preserve">★4.NSIL测试软件</w:t>
      </w:r>
      <w:r>
        <w:rPr>
          <w:rFonts w:hint="eastAsia" w:ascii="宋体" w:hAnsi="宋体" w:cs="宋体"/>
          <w:szCs w:val="21"/>
          <w:highlight w:val="none"/>
        </w:rPr>
        <w:t xml:space="preserve">，支持我院现有的矢量网络分析仪及相关设备，实</w:t>
      </w:r>
      <w:r>
        <w:rPr>
          <w:rFonts w:hint="eastAsia" w:ascii="宋体" w:hAnsi="宋体" w:cs="宋体"/>
          <w:szCs w:val="21"/>
        </w:rPr>
        <w:t xml:space="preserve">现电波暗室等场地的9kHz～30MHz归一化场地插入损耗参数的测量；具备NSIL自动化测试与数据处理功能。</w:t>
      </w:r>
      <w:r>
        <w:rPr>
          <w:rFonts w:hint="eastAsia" w:ascii="宋体" w:hAnsi="宋体" w:cs="宋体"/>
          <w:b/>
          <w:bCs/>
          <w:szCs w:val="21"/>
          <w:lang w:eastAsia="zh-CN"/>
        </w:rPr>
        <w:t xml:space="preserve">（提供承诺函加盖公章）</w:t>
      </w:r>
      <w:r>
        <w:rPr>
          <w:rFonts w:hint="eastAsia" w:ascii="宋体" w:hAnsi="宋体" w:eastAsia="宋体" w:cs="宋体"/>
          <w:szCs w:val="21"/>
          <w:lang w:eastAsia="zh-CN"/>
        </w:rPr>
      </w:r>
      <w:r/>
    </w:p>
    <w:p>
      <w:pPr>
        <w:pStyle w:val="1275"/>
        <w:ind w:firstLine="422"/>
        <w:spacing w:line="360" w:lineRule="auto"/>
        <w:rPr>
          <w:rFonts w:hint="eastAsia" w:ascii="宋体" w:hAnsi="宋体" w:cs="宋体"/>
          <w:b/>
          <w:bCs/>
          <w:szCs w:val="21"/>
        </w:rPr>
      </w:pPr>
      <w:r>
        <w:rPr>
          <w:rFonts w:hint="eastAsia" w:ascii="宋体" w:hAnsi="宋体" w:cs="宋体"/>
          <w:b/>
          <w:bCs/>
          <w:szCs w:val="21"/>
        </w:rPr>
        <w:t xml:space="preserve">5.双锥天线(含天线巴伦)</w:t>
      </w:r>
      <w:r>
        <w:rPr>
          <w:rFonts w:hint="eastAsia" w:ascii="宋体" w:hAnsi="宋体" w:cs="宋体"/>
          <w:b/>
          <w:bCs/>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5.1 频率范围：30 MHz～200 MHz</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5.2 天线系数：5～20dB/m</w:t>
      </w:r>
      <w:r>
        <w:rPr>
          <w:rFonts w:hint="eastAsia" w:ascii="宋体" w:hAnsi="宋体" w:cs="宋体"/>
          <w:szCs w:val="21"/>
        </w:rPr>
      </w:r>
      <w:r/>
    </w:p>
    <w:p>
      <w:pPr>
        <w:pStyle w:val="1275"/>
        <w:ind w:firstLine="422"/>
        <w:spacing w:line="360" w:lineRule="auto"/>
        <w:rPr>
          <w:rFonts w:hint="eastAsia" w:ascii="宋体" w:hAnsi="宋体" w:cs="宋体"/>
          <w:b/>
          <w:bCs/>
          <w:szCs w:val="21"/>
        </w:rPr>
      </w:pPr>
      <w:r>
        <w:rPr>
          <w:rFonts w:hint="eastAsia" w:ascii="宋体" w:hAnsi="宋体" w:cs="宋体"/>
          <w:b/>
          <w:bCs/>
          <w:szCs w:val="21"/>
        </w:rPr>
        <w:t xml:space="preserve">6.对数周期天线</w:t>
      </w:r>
      <w:r>
        <w:rPr>
          <w:rFonts w:hint="eastAsia" w:ascii="宋体" w:hAnsi="宋体" w:cs="宋体"/>
          <w:b/>
          <w:bCs/>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6.1 频率范围：200 MHz～1000 MHz</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6.2 天线系数10～35dB/m</w:t>
      </w:r>
      <w:r>
        <w:rPr>
          <w:rFonts w:hint="eastAsia" w:ascii="宋体" w:hAnsi="宋体" w:cs="宋体"/>
          <w:szCs w:val="21"/>
        </w:rPr>
      </w:r>
      <w:r/>
    </w:p>
    <w:p>
      <w:pPr>
        <w:pStyle w:val="1275"/>
        <w:ind w:firstLine="422"/>
        <w:spacing w:line="360" w:lineRule="auto"/>
        <w:rPr>
          <w:rFonts w:hint="eastAsia" w:ascii="宋体" w:hAnsi="宋体" w:cs="宋体"/>
          <w:szCs w:val="21"/>
        </w:rPr>
      </w:pPr>
      <w:r>
        <w:rPr>
          <w:rFonts w:hint="eastAsia" w:ascii="宋体" w:hAnsi="宋体" w:cs="宋体"/>
          <w:b/>
          <w:bCs/>
          <w:szCs w:val="21"/>
        </w:rPr>
        <w:t xml:space="preserve">7.精密对称偶极子天线</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★7.1 满足CISPR16-1-4：2023中测试桌影响评估的测试要求尺寸：＜40cm。</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7.2 频率范围：30MHz～1GHz</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7.3 天线系数：25～55dB/m</w:t>
      </w:r>
      <w:r>
        <w:rPr>
          <w:rFonts w:hint="eastAsia" w:ascii="宋体" w:hAnsi="宋体" w:cs="宋体"/>
          <w:szCs w:val="21"/>
        </w:rPr>
      </w:r>
      <w:r/>
    </w:p>
    <w:p>
      <w:pPr>
        <w:pStyle w:val="1275"/>
        <w:ind w:firstLine="422"/>
        <w:spacing w:line="360" w:lineRule="auto"/>
        <w:rPr>
          <w:rFonts w:hint="eastAsia" w:ascii="宋体" w:hAnsi="宋体" w:cs="宋体"/>
          <w:szCs w:val="21"/>
        </w:rPr>
      </w:pPr>
      <w:r>
        <w:rPr>
          <w:rFonts w:hint="eastAsia" w:ascii="宋体" w:hAnsi="宋体" w:cs="宋体"/>
          <w:b/>
          <w:bCs/>
          <w:szCs w:val="21"/>
        </w:rPr>
        <w:t xml:space="preserve">8.天线塔</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8.1 材质：玻璃纤维、PVC等</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8.2 升降高度：1m～3m</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8.3 俯仰角度：-45°～45°</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8.4 适配各类天线夹具</w:t>
      </w:r>
      <w:r>
        <w:rPr>
          <w:rFonts w:hint="eastAsia" w:ascii="宋体" w:hAnsi="宋体" w:cs="宋体"/>
          <w:szCs w:val="21"/>
        </w:rPr>
      </w:r>
      <w:r/>
    </w:p>
    <w:p>
      <w:pPr>
        <w:pStyle w:val="1275"/>
        <w:ind w:firstLine="422"/>
        <w:spacing w:line="360" w:lineRule="auto"/>
        <w:rPr>
          <w:rFonts w:hint="eastAsia" w:ascii="宋体" w:hAnsi="宋体" w:cs="宋体"/>
          <w:szCs w:val="21"/>
        </w:rPr>
      </w:pPr>
      <w:r>
        <w:rPr>
          <w:rFonts w:hint="eastAsia" w:ascii="宋体" w:hAnsi="宋体" w:cs="宋体"/>
          <w:b/>
          <w:bCs/>
          <w:szCs w:val="21"/>
        </w:rPr>
        <w:t xml:space="preserve">9.运输箱</w:t>
      </w:r>
      <w:r>
        <w:rPr>
          <w:rFonts w:hint="eastAsia" w:ascii="宋体" w:hAnsi="宋体" w:cs="宋体"/>
          <w:szCs w:val="21"/>
        </w:rPr>
        <w:t xml:space="preserve"> </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9.1 依据系统涉及的天线、网络分析仪、频谱分析仪等定制，满足外出测试需求，不少于10只</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9.2 满足二级锁扣，防沙；抗老化O型密封圈，自动排气阀；橡胶模压把手；不锈钢铰链；防水、防撞击、防尘；切割柱状海绵等。</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（三）验收依据、方法及单位</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1.精密环天线：依据JJF1897-2021《30 MHz～1 GHz测量天线校准规范》、GB/T 6113.106-2018《无线电骚扰和抗扰度测量设备和测量方法规范　第1-6部分：无线电骚扰和抗扰度测量设备　EMC天线校准》进行验收，送至中国计量科学研究院校准；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2.同轴电缆：依据JJF2092-2024《射频与微波衰减器校准规范》进行验收，送至江苏省计量科学研究院校准；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3.电子校准件：依据JJF1495-2014JJF（通信）069-2023《电子校准件校准规范》进行验收，送至江苏省计量科学研究院校准；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4.NSIL测试软件：功能检查，送至江苏省计量科学研究院验收；</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5.双锥天线(含天线巴伦)：依据JJF1897-2021《30 MHz～1 GHz测量天线校准规范》进行验收，送至中国计量科学研究院校准；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6.对数周期天线：依据JJF1897-2021《30 MHz～1 GHz测量天线校准规范》、GB/T 6113.106-2018《无线电骚扰和抗扰度测量设备和测量方法规范　第1-6部分：无线电骚扰和抗扰度测量设备　EMC天线校准》进行验收，送至中国计量科学研究院校准；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7.精密对称偶极子天线：依据JJF1897-2021《30 MHz～1 GHz测量天线校准规范》、GB/T 6113.106-2018《无线电骚扰和抗扰度测量设备和测量方法规范　第1-6部分：无线电骚扰和抗扰度测量设备　EMC天线校准》进行验收，送至中国计量科学研究院校准；</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8.天线塔：功能检查，送至江苏省计量科学研究院验收；</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9.运输箱：功能检查，送至江苏省计量科学研究院验收；</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上述设备中，若由中国计量科学研究院检定/校准，卖方负责送检并承担全部费用。</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若由江苏省计量科学研究院检定/校准，验收合格费用由买方承担；验收不合格，费用由卖方承担。</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江苏省计量科学研究院根据以上证书、本技术文件对整套设备的技术指标和功能进行最终验收。</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（四）安装调试</w:t>
      </w:r>
      <w:r>
        <w:rPr>
          <w:rFonts w:hint="eastAsia" w:ascii="宋体" w:hAnsi="宋体" w:cs="宋体"/>
          <w:szCs w:val="21"/>
        </w:rPr>
      </w:r>
      <w:r/>
    </w:p>
    <w:p>
      <w:pPr>
        <w:pStyle w:val="1275"/>
        <w:ind w:firstLine="420"/>
        <w:spacing w:line="360" w:lineRule="auto"/>
        <w:rPr>
          <w:rFonts w:hint="eastAsia" w:ascii="宋体" w:hAnsi="宋体" w:cs="宋体"/>
          <w:bCs/>
          <w:szCs w:val="21"/>
        </w:rPr>
      </w:pPr>
      <w:r>
        <w:rPr>
          <w:rFonts w:hint="eastAsia" w:ascii="宋体" w:hAnsi="宋体" w:cs="宋体"/>
          <w:bCs/>
          <w:szCs w:val="21"/>
        </w:rPr>
        <w:t xml:space="preserve">卖方向买方提供设备供货清单，交货地点为买方指定场所。设备到货后，卖方应安排人员进行开箱、安装、调试等服务。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产生的全部费用由卖方承担。</w:t>
      </w:r>
      <w:r>
        <w:rPr>
          <w:rFonts w:hint="eastAsia" w:ascii="宋体" w:hAnsi="宋体" w:cs="宋体"/>
          <w:bCs/>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（五）人员培训要求</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卖方应提供不少于3天的专业技术培训。培训内容包括：基本理论、实验方法原理、软件操作、仪器使用、仪器维护、安全要点以及其他相关内容。卖方应提供详细的培训文件。所发生的培训费用由卖方承担。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（六）技术支持以及售后服务</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1.测试场地检测装置的质保期为验收合格之日起12个月。</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2.质保期内，卖方提供免费包修、包换、包退服务，承担所有维修费用。质保期满后，原则上卖方技术人员上门维修只收取更换的零部费，不另收取工时费。</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卖方提供持续、广泛的技术支持，以及优惠的维修保养等售后服务，及时对买方遇到的技术问题或故障予以答复和修复。买方报修后，卖方应在24小时内作出响应，如果电话支持无法解决问题，则2天内卖方技术人员到现场进行维修。</w:t>
      </w:r>
      <w:r>
        <w:rPr>
          <w:rFonts w:hint="eastAsia" w:ascii="宋体" w:hAnsi="宋体" w:cs="宋体"/>
          <w:szCs w:val="21"/>
        </w:rPr>
      </w:r>
      <w:r/>
    </w:p>
    <w:p>
      <w:pPr>
        <w:pStyle w:val="1275"/>
        <w:ind w:firstLine="420"/>
        <w:spacing w:line="360" w:lineRule="auto"/>
        <w:rPr>
          <w:rFonts w:hint="eastAsia" w:ascii="宋体" w:hAnsi="宋体" w:cs="宋体"/>
          <w:bCs/>
          <w:szCs w:val="21"/>
        </w:rPr>
      </w:pPr>
      <w:r>
        <w:rPr>
          <w:rFonts w:hint="eastAsia" w:ascii="宋体" w:hAnsi="宋体" w:cs="宋体"/>
          <w:szCs w:val="21"/>
        </w:rPr>
        <w:t xml:space="preserve">4.提供备用设备服务，如买方仪器发生故障，无法在短时间内修复，而买方急需使用仪器，如卖方有类似的设备, 卖方需无偿提供计量合格的备用设备，直到产品修理完成为止。</w:t>
      </w:r>
      <w:r>
        <w:rPr>
          <w:rFonts w:hint="eastAsia" w:ascii="宋体" w:hAnsi="宋体" w:cs="宋体"/>
          <w:bCs/>
          <w:szCs w:val="21"/>
        </w:rPr>
      </w:r>
      <w:r/>
    </w:p>
    <w:p>
      <w:pPr>
        <w:pStyle w:val="1275"/>
        <w:jc w:val="center"/>
        <w:spacing w:before="156" w:line="440" w:lineRule="exact"/>
        <w:rPr>
          <w:rFonts w:hint="eastAsia" w:ascii="宋体" w:hAnsi="宋体" w:cs="宋体"/>
          <w:b/>
          <w:szCs w:val="21"/>
        </w:rPr>
        <w:outlineLvl w:val="1"/>
      </w:pPr>
      <w:r/>
      <w:bookmarkStart w:id="266" w:name="_Toc31688"/>
      <w:r/>
      <w:bookmarkStart w:id="267" w:name="_Toc16951"/>
      <w:r>
        <w:rPr>
          <w:rFonts w:hint="eastAsia" w:ascii="宋体" w:hAnsi="宋体" w:cs="宋体"/>
          <w:b/>
          <w:szCs w:val="21"/>
        </w:rPr>
        <w:t xml:space="preserve">品目3 数据中心能效检测装置</w:t>
      </w:r>
      <w:bookmarkEnd w:id="266"/>
      <w:r/>
      <w:bookmarkEnd w:id="267"/>
      <w:r>
        <w:rPr>
          <w:rFonts w:hint="eastAsia" w:ascii="宋体" w:hAnsi="宋体" w:cs="宋体"/>
          <w:b/>
          <w:szCs w:val="21"/>
        </w:rPr>
      </w:r>
      <w:r/>
    </w:p>
    <w:p>
      <w:pPr>
        <w:pStyle w:val="1275"/>
        <w:spacing w:line="360" w:lineRule="auto"/>
        <w:tabs>
          <w:tab w:val="left" w:pos="4500" w:leader="none"/>
          <w:tab w:val="left" w:pos="4680" w:leader="none"/>
        </w:tabs>
        <w:rPr>
          <w:rFonts w:hint="eastAsia"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（一）设备及明细配置清单</w:t>
      </w:r>
      <w:r>
        <w:rPr>
          <w:rFonts w:hint="eastAsia"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3201"/>
        <w:gridCol w:w="1173"/>
        <w:gridCol w:w="1666"/>
        <w:gridCol w:w="1463"/>
        <w:gridCol w:w="1356"/>
      </w:tblGrid>
      <w:tr>
        <w:trPr>
          <w:trHeight w:val="389"/>
        </w:trPr>
        <w:tc>
          <w:tcPr>
            <w:tcW w:w="503" w:type="dxa"/>
            <w:vAlign w:val="center"/>
            <w:textDirection w:val="lrTb"/>
            <w:noWrap w:val="false"/>
          </w:tcPr>
          <w:p>
            <w:pPr>
              <w:pStyle w:val="1275"/>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59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84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742"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89"/>
        </w:trPr>
        <w:tc>
          <w:tcPr>
            <w:tcW w:w="503" w:type="dxa"/>
            <w:vAlign w:val="center"/>
            <w:textDirection w:val="lrTb"/>
            <w:noWrap w:val="false"/>
          </w:tcPr>
          <w:p>
            <w:pPr>
              <w:pStyle w:val="1275"/>
              <w:ind w:right="141"/>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数据中心能效检测装置，不得低于以下配置：</w:t>
            </w:r>
            <w:r>
              <w:rPr>
                <w:rFonts w:hint="eastAsia" w:ascii="宋体" w:hAnsi="宋体" w:cs="宋体"/>
                <w:szCs w:val="21"/>
              </w:rPr>
            </w:r>
            <w:r/>
          </w:p>
        </w:tc>
        <w:tc>
          <w:tcPr>
            <w:tcW w:w="59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845" w:type="dxa"/>
            <w:vAlign w:val="center"/>
            <w:vMerge w:val="restart"/>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合同签订后3个月</w:t>
            </w:r>
            <w:r>
              <w:rPr>
                <w:rFonts w:hint="eastAsia" w:ascii="宋体" w:hAnsi="宋体" w:cs="宋体"/>
                <w:szCs w:val="21"/>
              </w:rPr>
            </w:r>
            <w:r/>
          </w:p>
        </w:tc>
        <w:tc>
          <w:tcPr>
            <w:tcW w:w="742" w:type="dxa"/>
            <w:vAlign w:val="center"/>
            <w:vMerge w:val="restart"/>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验收合格之日起2年</w:t>
            </w: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电能质量分析仪</w:t>
            </w:r>
            <w:r>
              <w:rPr>
                <w:rFonts w:hint="eastAsia" w:ascii="宋体" w:hAnsi="宋体" w:cs="宋体"/>
                <w:szCs w:val="21"/>
              </w:rPr>
            </w:r>
            <w:r/>
          </w:p>
        </w:tc>
        <w:tc>
          <w:tcPr>
            <w:tcW w:w="595" w:type="dxa"/>
            <w:vAlign w:val="center"/>
            <w:textDirection w:val="lrTb"/>
            <w:noWrap w:val="false"/>
          </w:tcPr>
          <w:p>
            <w:pPr>
              <w:pStyle w:val="1275"/>
              <w:jc w:val="center"/>
              <w:keepNext/>
              <w:spacing w:line="360" w:lineRule="auto"/>
              <w:rPr>
                <w:rFonts w:hint="eastAsia" w:ascii="宋体" w:hAnsi="宋体" w:cs="宋体"/>
                <w:szCs w:val="21"/>
              </w:rPr>
              <w:outlineLvl w:val="0"/>
            </w:pPr>
            <w:r/>
            <w:bookmarkStart w:id="268" w:name="_Toc12949"/>
            <w:r/>
            <w:bookmarkStart w:id="269" w:name="_Toc20163"/>
            <w:r/>
            <w:bookmarkStart w:id="270" w:name="_Toc3592"/>
            <w:r>
              <w:rPr>
                <w:rFonts w:hint="eastAsia" w:ascii="宋体" w:hAnsi="宋体" w:cs="宋体"/>
                <w:szCs w:val="21"/>
              </w:rPr>
              <w:t xml:space="preserve">2台</w:t>
            </w:r>
            <w:bookmarkEnd w:id="268"/>
            <w:r/>
            <w:bookmarkEnd w:id="269"/>
            <w:r/>
            <w:bookmarkEnd w:id="270"/>
            <w:r>
              <w:rPr>
                <w:rFonts w:hint="eastAsia" w:ascii="宋体" w:hAnsi="宋体" w:cs="宋体"/>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数字式温湿度计</w:t>
            </w:r>
            <w:r>
              <w:rPr>
                <w:rFonts w:hint="eastAsia" w:ascii="宋体" w:hAnsi="宋体" w:cs="宋体"/>
                <w:szCs w:val="21"/>
              </w:rPr>
            </w:r>
            <w:r/>
          </w:p>
        </w:tc>
        <w:tc>
          <w:tcPr>
            <w:tcW w:w="59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4台</w:t>
            </w:r>
            <w:r>
              <w:rPr>
                <w:rFonts w:hint="eastAsia" w:ascii="宋体" w:hAnsi="宋体" w:cs="宋体"/>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声波成像仪</w:t>
            </w:r>
            <w:r>
              <w:rPr>
                <w:rFonts w:hint="eastAsia" w:ascii="宋体" w:hAnsi="宋体" w:cs="宋体"/>
                <w:szCs w:val="21"/>
              </w:rPr>
            </w:r>
            <w:r/>
          </w:p>
        </w:tc>
        <w:tc>
          <w:tcPr>
            <w:tcW w:w="59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503"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62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复合相关仪</w:t>
            </w:r>
            <w:r>
              <w:rPr>
                <w:rFonts w:hint="eastAsia" w:ascii="宋体" w:hAnsi="宋体" w:cs="宋体"/>
                <w:szCs w:val="21"/>
              </w:rPr>
            </w:r>
            <w:r/>
          </w:p>
        </w:tc>
        <w:tc>
          <w:tcPr>
            <w:tcW w:w="59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845"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r>
    </w:tbl>
    <w:p>
      <w:pPr>
        <w:pStyle w:val="1275"/>
        <w:jc w:val="center"/>
        <w:spacing w:line="360" w:lineRule="auto"/>
        <w:rPr>
          <w:rFonts w:ascii="宋体" w:hAnsi="宋体" w:cs="宋体"/>
          <w:szCs w:val="21"/>
        </w:rPr>
      </w:pPr>
      <w:r>
        <w:rPr>
          <w:rFonts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275"/>
        <w:ind w:firstLine="638"/>
        <w:spacing w:line="360" w:lineRule="auto"/>
        <w:rPr>
          <w:rFonts w:hint="eastAsia" w:ascii="宋体" w:hAnsi="宋体" w:cs="宋体"/>
          <w:szCs w:val="21"/>
        </w:rPr>
      </w:pPr>
      <w:r/>
      <w:bookmarkStart w:id="271" w:name="_Toc351107793"/>
      <w:r/>
      <w:bookmarkStart w:id="272" w:name="_Toc255074827"/>
      <w:r/>
      <w:bookmarkStart w:id="273" w:name="_Toc253150291"/>
      <w:r/>
      <w:bookmarkStart w:id="274" w:name="_Toc155151667"/>
      <w:r/>
      <w:bookmarkStart w:id="275" w:name="_Toc351107611"/>
      <w:r/>
      <w:bookmarkStart w:id="276" w:name="_Toc351107508"/>
      <w:r>
        <w:rPr>
          <w:rFonts w:hint="eastAsia" w:ascii="宋体" w:hAnsi="宋体" w:cs="宋体"/>
          <w:szCs w:val="21"/>
        </w:rPr>
        <w:t xml:space="preserve">1.电能质量分析仪</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 可测量U、I 、F、W、VA、Var、P、Ea、S、Eap、Q、Er等参数；</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1.2 电压输入：4路输入，最大输入电压1000 V rms/1000 V dc (1700 Vpk)；</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1.3 输入电压通道测量准确度（仪器稳定度）：±0.1% ；</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1.4 输入电流通道测量准确度：±(1% + 0.03%)；</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1.5 有功功率测量准确度：±(1.2% + 0.0075%)；</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1.6 有功电能准确度：±((1.2+√(1-PF)/(2×PF))%+0.0075%)，0.1≤PF&lt;0.99；</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1.7 分辨率：24位同步采样；</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1.8 电压瞬变测量范围：±8 kV；</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★1.9 仪器采样率：波形采样率80kS/s, 瞬态采样率20MS/s；</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1.10 接线方式：1-φ、1-φ IT、分相、3-φ 三角形、3-φ 星形 IT、3-φ Aron/Blondel（二元三角形）、3-φ 三角形开放式分支、 3-φ 高分支三角形；   </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1.11 存储硬件：内置容量≥32G的SD内存卡，可支持长时间存储记录；</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1.12 测量谐波次数0～50次、高频谐波（2～9）kHz、超谐波（9～30）kHz；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1.13 总谐波失真：基于50谐波计算电压和电流的总谐波失真 (THD)，分辨率：0.1 %/0.1 V，准确度：±(2.5 % + 0.5 %)；    </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1.14 接口：以太网、USB A 型、USB-C、WiFi/BLE 模块、LTE/4G 模块、GPS；</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★1.15 电流传感器电流输入：4 路输入（三相和零线），为相连传感器自动选择量程，交流1A 至 1500 A和交流1A 至3000 A各4个。</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1.16 电源供电：100 V~600 V，-15 %/+10 % (85 V~ 660 V)，可现场通过三相电压通道给机器供电。</w:t>
      </w:r>
      <w:r>
        <w:rPr>
          <w:rFonts w:hint="eastAsia" w:ascii="宋体" w:hAnsi="宋体" w:cs="宋体"/>
          <w:szCs w:val="21"/>
        </w:rPr>
      </w:r>
      <w:r/>
    </w:p>
    <w:p>
      <w:pPr>
        <w:pStyle w:val="1275"/>
        <w:ind w:firstLine="638"/>
        <w:spacing w:line="360" w:lineRule="auto"/>
        <w:rPr>
          <w:rFonts w:hint="eastAsia" w:ascii="宋体" w:hAnsi="宋体" w:cs="宋体"/>
          <w:szCs w:val="21"/>
        </w:rPr>
      </w:pPr>
      <w:r/>
      <w:bookmarkEnd w:id="271"/>
      <w:r/>
      <w:bookmarkEnd w:id="272"/>
      <w:r/>
      <w:bookmarkEnd w:id="273"/>
      <w:r/>
      <w:bookmarkEnd w:id="274"/>
      <w:r/>
      <w:bookmarkEnd w:id="275"/>
      <w:r/>
      <w:bookmarkEnd w:id="276"/>
      <w:r>
        <w:rPr>
          <w:rFonts w:hint="eastAsia" w:ascii="宋体" w:hAnsi="宋体" w:cs="宋体"/>
          <w:szCs w:val="21"/>
        </w:rPr>
        <w:t xml:space="preserve">2.数字式温湿度计</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2.1 测量范围：-10℃ ~ +60℃</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2.2 最大允许误差：±0.4℃</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2.3 分辨率：0.1℃</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2.4 湿度测量范围：0～100 %RH</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2.5 最大允许误差：±（2 %RH + 1 Digit） 在 +25℃ (10 ~ 90 %RH)；±3 %RH 其余量程</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2.6 分辨率：0.1 %RH</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2.7 防护等级IP30</w:t>
      </w:r>
      <w:r>
        <w:rPr>
          <w:rFonts w:hint="eastAsia" w:ascii="宋体" w:hAnsi="宋体" w:cs="宋体"/>
          <w:szCs w:val="21"/>
        </w:rPr>
      </w:r>
      <w:r/>
    </w:p>
    <w:p>
      <w:pPr>
        <w:pStyle w:val="1275"/>
        <w:ind w:firstLine="638"/>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2.8 容量可存储至少90天数据</w:t>
      </w:r>
      <w:r>
        <w:rPr>
          <w:rFonts w:ascii="宋体" w:hAnsi="宋体" w:eastAsia="宋体" w:cs="宋体"/>
          <w:szCs w:val="21"/>
          <w:lang w:val="en-US" w:eastAsia="zh-CN"/>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3.声波成像仪</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3.1 工作模式：支持局放检测、泄漏检测、异响检测；</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3.2 声音采样率：≥200 kS/s；</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3.3 成像频率范围：2 kHz ~ 100 kHz；</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3.4 成像帧率：≥25 FPS；</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3.5 定位距离：（0.3～150 ）m；</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3.6 集成摄像头：≥1300万像素；</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3.7 显示及操作：采用≥4.3英寸的电容式触摸屏； </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3.8 检测与诊断功能：应能支持悬浮、电晕、沿面等多种放电类型的检测；显示模式应支持单声源、多声源及全息模式；</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3.9 数据存储：应能支持Wi-Fi、蓝牙；配备TF卡槽（存储支持大于64GB）；支持拍照、录像及查看，支持.jpg图片、.wav录音及.mp4视频等格式文件的存储；</w:t>
      </w:r>
      <w:r>
        <w:rPr>
          <w:rFonts w:hint="eastAsia" w:ascii="宋体" w:hAnsi="宋体" w:cs="宋体"/>
          <w:szCs w:val="21"/>
        </w:rPr>
      </w:r>
      <w:r/>
    </w:p>
    <w:p>
      <w:pPr>
        <w:pStyle w:val="1275"/>
        <w:ind w:firstLine="638"/>
        <w:spacing w:line="360" w:lineRule="auto"/>
        <w:rPr>
          <w:rFonts w:hint="eastAsia" w:ascii="宋体" w:hAnsi="宋体" w:cs="宋体"/>
          <w:szCs w:val="21"/>
          <w:highlight w:val="none"/>
        </w:rPr>
      </w:pPr>
      <w:r>
        <w:rPr>
          <w:rFonts w:hint="eastAsia" w:ascii="宋体" w:hAnsi="宋体" w:cs="宋体"/>
          <w:szCs w:val="21"/>
        </w:rPr>
        <w:t xml:space="preserve">3.10 分析软件：应具备文件管理功能，配套离线PC端软件可自动生成报告，支持查看时域波形、频谱图</w:t>
      </w:r>
      <w:r>
        <w:rPr>
          <w:rFonts w:hint="eastAsia" w:ascii="宋体" w:hAnsi="宋体" w:cs="宋体"/>
          <w:szCs w:val="21"/>
          <w:highlight w:val="none"/>
        </w:rPr>
        <w:t xml:space="preserve">及PRPD图谱； </w:t>
      </w:r>
      <w:r>
        <w:rPr>
          <w:rFonts w:hint="eastAsia" w:ascii="宋体" w:hAnsi="宋体" w:cs="宋体"/>
          <w:szCs w:val="21"/>
          <w:highlight w:val="none"/>
        </w:rPr>
      </w:r>
      <w:r/>
    </w:p>
    <w:p>
      <w:pPr>
        <w:pStyle w:val="1275"/>
        <w:ind w:firstLine="638"/>
        <w:spacing w:line="360" w:lineRule="auto"/>
        <w:rPr>
          <w:rFonts w:hint="eastAsia" w:ascii="宋体" w:hAnsi="宋体" w:cs="宋体"/>
          <w:szCs w:val="21"/>
          <w:highlight w:val="none"/>
        </w:rPr>
      </w:pPr>
      <w:r>
        <w:rPr>
          <w:rFonts w:hint="eastAsia" w:ascii="宋体" w:hAnsi="宋体" w:cs="宋体"/>
          <w:szCs w:val="21"/>
          <w:highlight w:val="none"/>
        </w:rPr>
        <w:t xml:space="preserve">★3.11 提供</w:t>
      </w:r>
      <w:r>
        <w:rPr>
          <w:rFonts w:hint="eastAsia" w:ascii="宋体" w:hAnsi="宋体" w:cs="宋体"/>
          <w:szCs w:val="21"/>
          <w:highlight w:val="none"/>
          <w:lang w:eastAsia="zh-CN"/>
        </w:rPr>
        <w:t xml:space="preserve">有效期内的所投</w:t>
      </w:r>
      <w:r>
        <w:rPr>
          <w:rFonts w:hint="eastAsia" w:ascii="宋体" w:hAnsi="宋体" w:cs="宋体"/>
          <w:szCs w:val="21"/>
          <w:highlight w:val="none"/>
        </w:rPr>
        <w:t xml:space="preserve">声波成像仪的防爆证书复印件：防爆等级满足E</w:t>
      </w:r>
      <w:r>
        <w:rPr>
          <w:rFonts w:ascii="宋体" w:hAnsi="宋体" w:cs="宋体"/>
          <w:szCs w:val="21"/>
          <w:highlight w:val="none"/>
        </w:rPr>
        <w:t xml:space="preserve">x</w:t>
      </w:r>
      <w:r>
        <w:rPr>
          <w:rFonts w:hint="eastAsia" w:ascii="宋体" w:hAnsi="宋体" w:cs="宋体"/>
          <w:szCs w:val="21"/>
          <w:highlight w:val="none"/>
        </w:rPr>
        <w:t xml:space="preserve"> ic IIC T6 Gc；</w:t>
      </w:r>
      <w:r>
        <w:rPr>
          <w:rFonts w:hint="eastAsia" w:ascii="宋体" w:hAnsi="宋体" w:cs="宋体"/>
          <w:szCs w:val="21"/>
          <w:highlight w:val="none"/>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 复合相关仪</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4.1 主机显示与操作：配备不小于5.7英寸的彩色触摸屏；操作界面支持触屏显示及旋转按钮输入，以便于现场操作；</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4.2 主机电源与接口：应能支持内置可充电锂电池以及扩展外部直流电源的供电方式；具备USB通讯接口； </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4.3 主机工作模式：应能支持实时相关和离线相关两种工作模式；</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4.4 配套发射机指标：具备电池状态及噪声强度显示；内置可充电锂电池并支持感应式充电；</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4.5 防护等级：IP65；</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6 </w:t>
      </w:r>
      <w:r>
        <w:rPr>
          <w:rFonts w:hint="eastAsia" w:ascii="宋体" w:hAnsi="宋体" w:cs="宋体"/>
          <w:szCs w:val="21"/>
        </w:rPr>
        <w:t xml:space="preserve">通信频率：</w:t>
      </w:r>
      <w:r>
        <w:rPr>
          <w:rFonts w:hint="eastAsia" w:ascii="宋体" w:hAnsi="宋体" w:cs="宋体"/>
          <w:szCs w:val="21"/>
        </w:rPr>
      </w:r>
      <w:r/>
    </w:p>
    <w:p>
      <w:pPr>
        <w:pStyle w:val="1275"/>
        <w:ind w:firstLine="638"/>
        <w:spacing w:line="360" w:lineRule="auto"/>
        <w:rPr>
          <w:rFonts w:hint="eastAsia" w:ascii="宋体" w:hAnsi="宋体" w:cs="宋体"/>
          <w:szCs w:val="21"/>
        </w:rPr>
      </w:pPr>
      <w:r>
        <w:rPr>
          <w:rFonts w:hint="eastAsia" w:ascii="宋体" w:hAnsi="宋体" w:cs="宋体"/>
          <w:szCs w:val="21"/>
        </w:rPr>
        <w:t xml:space="preserve">数字无线电：工作频率913.02 MHz，频段覆盖902 MHz ~ 928 MHz；</w:t>
      </w:r>
      <w:r>
        <w:rPr>
          <w:rFonts w:hint="eastAsia" w:ascii="宋体" w:hAnsi="宋体" w:cs="宋体"/>
          <w:szCs w:val="21"/>
        </w:rPr>
      </w:r>
      <w:r/>
    </w:p>
    <w:p>
      <w:pPr>
        <w:pStyle w:val="1275"/>
        <w:ind w:firstLine="638"/>
        <w:spacing w:line="360" w:lineRule="auto"/>
        <w:rPr>
          <w:rFonts w:hint="eastAsia" w:ascii="宋体" w:hAnsi="宋体" w:cs="宋体"/>
          <w:szCs w:val="21"/>
          <w:highlight w:val="none"/>
        </w:rPr>
      </w:pPr>
      <w:r>
        <w:rPr>
          <w:rFonts w:hint="eastAsia" w:ascii="宋体" w:hAnsi="宋体" w:cs="宋体"/>
          <w:szCs w:val="21"/>
          <w:highlight w:val="none"/>
        </w:rPr>
        <w:t xml:space="preserve">模拟无线电：工作频率468.5 MHz / 469.6 MHz，频段覆盖468.5 MHz ~ 496.6 MHz；</w:t>
      </w:r>
      <w:r>
        <w:rPr>
          <w:rFonts w:hint="eastAsia" w:ascii="宋体" w:hAnsi="宋体" w:cs="宋体"/>
          <w:szCs w:val="21"/>
          <w:highlight w:val="none"/>
        </w:rPr>
      </w:r>
      <w:r/>
    </w:p>
    <w:p>
      <w:pPr>
        <w:pStyle w:val="1275"/>
        <w:ind w:firstLine="638"/>
        <w:spacing w:line="360" w:lineRule="auto"/>
        <w:rPr>
          <w:rFonts w:ascii="宋体" w:hAnsi="宋体" w:cs="宋体"/>
          <w:szCs w:val="21"/>
          <w:highlight w:val="none"/>
        </w:rPr>
      </w:pPr>
      <w:r>
        <w:rPr>
          <w:rFonts w:hint="eastAsia" w:ascii="宋体" w:hAnsi="宋体" w:cs="宋体"/>
          <w:szCs w:val="21"/>
          <w:highlight w:val="none"/>
        </w:rPr>
        <w:t xml:space="preserve">5.其他功能要求：</w:t>
      </w:r>
      <w:r>
        <w:rPr>
          <w:rFonts w:ascii="宋体" w:hAnsi="宋体" w:cs="宋体"/>
          <w:szCs w:val="21"/>
          <w:highlight w:val="none"/>
        </w:rPr>
      </w:r>
      <w:r/>
    </w:p>
    <w:p>
      <w:pPr>
        <w:pStyle w:val="1275"/>
        <w:ind w:firstLine="638"/>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★5</w:t>
      </w:r>
      <w:r>
        <w:rPr>
          <w:rFonts w:ascii="宋体" w:hAnsi="宋体" w:cs="宋体"/>
          <w:szCs w:val="21"/>
          <w:highlight w:val="none"/>
        </w:rPr>
        <w:t xml:space="preserve">.1</w:t>
      </w:r>
      <w:r>
        <w:rPr>
          <w:rFonts w:hint="eastAsia" w:ascii="宋体" w:hAnsi="宋体" w:cs="宋体"/>
          <w:szCs w:val="21"/>
          <w:highlight w:val="none"/>
        </w:rPr>
        <w:t xml:space="preserve">声波成像仪和复合相关仪具备智能交互接口，支持4G无线远程通信；</w:t>
      </w:r>
      <w:r>
        <w:rPr>
          <w:rFonts w:hint="eastAsia"/>
          <w:b/>
          <w:bCs/>
          <w:highlight w:val="none"/>
          <w:lang w:eastAsia="zh-CN"/>
        </w:rPr>
        <w:t xml:space="preserve">（提供承诺书加盖公章）</w:t>
      </w:r>
      <w:r>
        <w:rPr>
          <w:rFonts w:hint="eastAsia" w:ascii="宋体" w:hAnsi="宋体" w:eastAsia="宋体" w:cs="宋体"/>
          <w:szCs w:val="21"/>
          <w:highlight w:val="none"/>
          <w:lang w:eastAsia="zh-CN"/>
        </w:rPr>
      </w:r>
      <w:r/>
    </w:p>
    <w:p>
      <w:pPr>
        <w:pStyle w:val="1275"/>
        <w:ind w:firstLine="638"/>
        <w:spacing w:line="360" w:lineRule="auto"/>
        <w:rPr>
          <w:rFonts w:hint="eastAsia" w:ascii="宋体" w:hAnsi="宋体" w:cs="宋体"/>
          <w:szCs w:val="21"/>
          <w:highlight w:val="none"/>
        </w:rPr>
      </w:pPr>
      <w:r>
        <w:rPr>
          <w:rFonts w:ascii="宋体" w:hAnsi="宋体" w:cs="宋体"/>
          <w:szCs w:val="21"/>
          <w:highlight w:val="none"/>
        </w:rPr>
        <w:t xml:space="preserve">5.2</w:t>
      </w:r>
      <w:r>
        <w:rPr>
          <w:rFonts w:hint="eastAsia" w:ascii="宋体" w:hAnsi="宋体" w:cs="宋体"/>
          <w:szCs w:val="21"/>
          <w:highlight w:val="none"/>
        </w:rPr>
        <w:t xml:space="preserve">内嵌数据采集与交互算法，能够实现与买方已有基于物联网与云平台技术的试验设备远程监控平台集成，提供明确的集成方案与技术路线。</w:t>
      </w:r>
      <w:r>
        <w:rPr>
          <w:rFonts w:hint="eastAsia" w:ascii="宋体" w:hAnsi="宋体" w:cs="宋体"/>
          <w:szCs w:val="21"/>
          <w:highlight w:val="none"/>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(三)验收依据、方法及单位</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1．电能质量分析仪依据GB/T 19862-2016《电能质量监测设备通用要求》 A级要求、GB/T 17626.30-2012《电磁兼容试验和测量技术电能质量测量方法》、本技术文件及仪器说明书上的各项技术指标进行验收；数字式温湿度计依据JJF1171-2024《温湿度巡回检测仪校准规范》、本技术文件及仪器说明书上的各项技术指标进行验收；声波成像仪、复合相关仪依据本技术文件及仪器说明书上的各项技术指标进行验收；</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2．卖方负责将设备送检至江苏省计量科学研究院，出具校准证书/检测报告。若检测合格，检测费用由买方承担；若检测不合格，检测费用由卖方承担。</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3．江苏省计量科学研究院依据上述所有校准证书/检测报告、本技术文件和仪器说明书对设备的各项配置、功能和技术指标进行验收。</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(四)安装调试</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color w:val="000000"/>
          <w:szCs w:val="21"/>
        </w:rPr>
        <w:t xml:space="preserve">卖方向买方提供设备供货清单</w:t>
      </w:r>
      <w:r>
        <w:rPr>
          <w:color w:val="000000"/>
          <w:szCs w:val="21"/>
        </w:rPr>
        <w:t xml:space="preserve">，</w:t>
      </w:r>
      <w:r>
        <w:rPr>
          <w:rFonts w:hint="eastAsia"/>
          <w:color w:val="000000"/>
          <w:szCs w:val="21"/>
        </w:rPr>
        <w:t xml:space="preserve">交货地点为买方指定场所。</w:t>
      </w:r>
      <w:r>
        <w:rPr>
          <w:color w:val="000000"/>
          <w:szCs w:val="21"/>
        </w:rPr>
        <w:t xml:space="preserve">设备到货后，卖方应安排人员进行开箱、安装、调试等服务。</w:t>
      </w:r>
      <w:r>
        <w:rPr>
          <w:rFonts w:hint="eastAsia"/>
          <w:color w:val="000000"/>
          <w:szCs w:val="21"/>
        </w:rPr>
        <w:t xml:space="preserve">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引起的全部费用由卖方承担</w:t>
      </w:r>
      <w:r>
        <w:rPr>
          <w:rFonts w:hint="eastAsia" w:ascii="宋体" w:hAnsi="宋体" w:cs="宋体"/>
          <w:szCs w:val="21"/>
        </w:rPr>
        <w:t xml:space="preserve">。</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b/>
          <w:bCs/>
          <w:szCs w:val="21"/>
        </w:rPr>
        <w:t xml:space="preserve">(五)人员培训要求</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color w:val="000000"/>
          <w:szCs w:val="21"/>
        </w:rPr>
        <w:t xml:space="preserve">卖方应提供不少于3天的专业技术培训。培训内容包括：基本理论、实验方法原理、软件操作、仪器使用、仪器维护、安全要点以及其他相关内容。卖方应提供详细的培训文件。所发生的培训费用由卖方承担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t xml:space="preserve">。</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b/>
          <w:color w:val="ff0000"/>
          <w:szCs w:val="21"/>
        </w:rPr>
      </w:pPr>
      <w:r>
        <w:rPr>
          <w:rFonts w:ascii="宋体" w:hAnsi="宋体" w:cs="宋体"/>
          <w:b/>
          <w:bCs/>
          <w:szCs w:val="21"/>
        </w:rPr>
        <w:t xml:space="preserve">(</w:t>
      </w:r>
      <w:r>
        <w:rPr>
          <w:rFonts w:hint="eastAsia" w:ascii="宋体" w:hAnsi="宋体" w:cs="宋体"/>
          <w:b/>
          <w:bCs/>
          <w:szCs w:val="21"/>
        </w:rPr>
        <w:t xml:space="preserve">六)技术支持以及售后服务</w:t>
      </w:r>
      <w:r>
        <w:rPr>
          <w:rFonts w:hint="eastAsia" w:ascii="宋体" w:hAnsi="宋体" w:cs="宋体"/>
          <w:b/>
          <w:color w:val="ff0000"/>
          <w:szCs w:val="21"/>
        </w:rPr>
      </w:r>
      <w:r/>
    </w:p>
    <w:p>
      <w:pPr>
        <w:pStyle w:val="1275"/>
        <w:ind w:firstLine="420"/>
        <w:spacing w:line="360" w:lineRule="auto"/>
        <w:rPr>
          <w:rFonts w:hint="eastAsia"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1.数据中心能效检测装置整体质保期为验收合格之日起2年。</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2.质保期内，卖方提供免费包修、包换、包退服务，承担所有维修费用。质保期满后，原则上卖方技术人员上门维修只收取更换的零部费，不另收取工时费。</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3.卖方提供持续、广泛的技术支持，以及优惠的维修保养等售后服务，及时对买方遇到的技术问题或故障予以答复和修复。买方报修后，卖方应在24小时内作出响应，如果电话支持无法解决问题，则2天内卖方技术人员到现场进行维修。4、提供备用设备服务，如买方仪器发生故障，无法在短时间内修复，而买方急需使用仪器，如卖方有类似的设备, 卖方需无偿提供计量合格的备用设备，直到产品修理完成为止。</w:t>
      </w:r>
      <w:r>
        <w:rPr>
          <w:rFonts w:hint="eastAsia" w:ascii="宋体" w:hAnsi="宋体" w:cs="宋体"/>
          <w:szCs w:val="21"/>
        </w:rPr>
      </w:r>
      <w:r/>
    </w:p>
    <w:p>
      <w:pPr>
        <w:pStyle w:val="1275"/>
        <w:spacing w:line="440" w:lineRule="exact"/>
        <w:rPr>
          <w:rFonts w:hint="eastAsia" w:ascii="宋体" w:hAnsi="宋体" w:cs="宋体"/>
          <w:b/>
          <w:bCs/>
          <w:szCs w:val="21"/>
        </w:rPr>
      </w:pPr>
      <w:r>
        <w:rPr>
          <w:rFonts w:hint="eastAsia" w:ascii="宋体" w:hAnsi="宋体" w:cs="宋体"/>
          <w:b/>
          <w:bCs/>
          <w:szCs w:val="21"/>
        </w:rPr>
      </w:r>
      <w:r/>
    </w:p>
    <w:p>
      <w:pPr>
        <w:pStyle w:val="1275"/>
        <w:spacing w:line="440" w:lineRule="exact"/>
        <w:rPr>
          <w:rFonts w:hint="eastAsia" w:ascii="宋体" w:hAnsi="宋体" w:cs="宋体"/>
          <w:b/>
          <w:bCs/>
          <w:szCs w:val="21"/>
        </w:rPr>
        <w:outlineLvl w:val="1"/>
      </w:pPr>
      <w:r/>
      <w:bookmarkStart w:id="277" w:name="_Toc32715"/>
      <w:r>
        <w:rPr>
          <w:rFonts w:hint="eastAsia" w:ascii="宋体" w:hAnsi="宋体" w:cs="宋体"/>
          <w:b/>
          <w:bCs/>
          <w:szCs w:val="21"/>
        </w:rPr>
        <w:t xml:space="preserve">★三、付款方式：</w:t>
      </w:r>
      <w:bookmarkEnd w:id="277"/>
      <w:r>
        <w:rPr>
          <w:rFonts w:hint="eastAsia" w:ascii="宋体" w:hAnsi="宋体" w:cs="宋体"/>
          <w:b/>
          <w:bCs/>
          <w:szCs w:val="21"/>
        </w:rPr>
      </w:r>
      <w:r/>
    </w:p>
    <w:p>
      <w:pPr>
        <w:pStyle w:val="1275"/>
        <w:ind w:left="0" w:firstLine="420"/>
        <w:spacing w:line="440" w:lineRule="exact"/>
        <w:rPr>
          <w:rFonts w:ascii="宋体" w:hAnsi="宋体" w:cs="宋体"/>
          <w:bCs/>
          <w:szCs w:val="21"/>
        </w:rPr>
        <w:outlineLvl w:val="9"/>
      </w:pPr>
      <w:r>
        <w:rPr>
          <w:rFonts w:hint="eastAsia" w:ascii="宋体" w:hAnsi="宋体" w:cs="宋体"/>
          <w:bCs/>
          <w:szCs w:val="21"/>
          <w:lang w:bidi="ar"/>
        </w:rPr>
        <w:t xml:space="preserve">合同签订生效后一个月内，买方向卖方预付合同总价</w:t>
      </w:r>
      <w:r>
        <w:rPr>
          <w:rFonts w:ascii="宋体" w:hAnsi="宋体" w:cs="宋体"/>
          <w:bCs/>
          <w:szCs w:val="21"/>
          <w:lang w:bidi="ar"/>
        </w:rPr>
        <w:t xml:space="preserve">3</w:t>
      </w:r>
      <w:r>
        <w:rPr>
          <w:rFonts w:hint="eastAsia" w:ascii="宋体" w:hAnsi="宋体" w:cs="宋体"/>
          <w:bCs/>
          <w:szCs w:val="21"/>
          <w:lang w:bidi="ar"/>
        </w:rPr>
        <w:t xml:space="preserve">0%的货款；设备、材料全部运抵交货地点，并安装结束，调试完毕，并验收合格后，买方向卖方支付合同总价</w:t>
      </w:r>
      <w:r>
        <w:rPr>
          <w:rFonts w:ascii="宋体" w:hAnsi="宋体" w:cs="宋体"/>
          <w:bCs/>
          <w:szCs w:val="21"/>
          <w:lang w:bidi="ar"/>
        </w:rPr>
        <w:t xml:space="preserve">6</w:t>
      </w:r>
      <w:r>
        <w:rPr>
          <w:rFonts w:hint="eastAsia" w:ascii="宋体" w:hAnsi="宋体" w:cs="宋体"/>
          <w:bCs/>
          <w:szCs w:val="21"/>
          <w:lang w:bidi="ar"/>
        </w:rPr>
        <w:t xml:space="preserve">0%的货款。设备验收合格后稳定运行一年后，相关稳定性指标满足要求, 买方向卖方支付合同总价10%的货款。</w:t>
      </w:r>
      <w:r>
        <w:rPr>
          <w:rFonts w:ascii="宋体" w:hAnsi="宋体" w:cs="宋体"/>
          <w:bCs/>
          <w:szCs w:val="21"/>
        </w:rPr>
      </w:r>
      <w:r/>
    </w:p>
    <w:p>
      <w:pPr>
        <w:pStyle w:val="1275"/>
        <w:ind w:firstLine="420"/>
        <w:spacing w:line="440" w:lineRule="exact"/>
        <w:rPr>
          <w:rFonts w:hint="eastAsia" w:ascii="宋体" w:hAnsi="宋体" w:cs="宋体"/>
          <w:bCs/>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lang w:bidi="ar"/>
        </w:rPr>
        <w:t xml:space="preserve">若产品存在质量问题，则不受该付款条件约束，应按照本合同条款其他要求以及民法典有关规定执行。</w:t>
      </w:r>
      <w:r>
        <w:rPr>
          <w:rFonts w:hint="eastAsia" w:ascii="宋体" w:hAnsi="宋体" w:cs="宋体"/>
          <w:bCs/>
          <w:szCs w:val="21"/>
        </w:rPr>
      </w:r>
      <w:r/>
    </w:p>
    <w:p>
      <w:pPr>
        <w:pStyle w:val="1275"/>
        <w:jc w:val="left"/>
        <w:spacing w:line="360" w:lineRule="auto"/>
        <w:rPr>
          <w:rFonts w:hint="eastAsia" w:ascii="宋体" w:cs="宋体"/>
          <w:b/>
          <w:bCs/>
          <w:szCs w:val="21"/>
        </w:rPr>
      </w:pPr>
      <w:r>
        <w:rPr>
          <w:rFonts w:hint="eastAsia" w:ascii="宋体" w:cs="宋体"/>
          <w:b/>
          <w:bCs/>
          <w:szCs w:val="21"/>
        </w:rPr>
      </w:r>
      <w:r/>
    </w:p>
    <w:p>
      <w:pPr>
        <w:pStyle w:val="1275"/>
        <w:jc w:val="left"/>
        <w:spacing w:line="480" w:lineRule="exact"/>
        <w:tabs>
          <w:tab w:val="left" w:pos="1680" w:leader="none"/>
        </w:tabs>
        <w:rPr>
          <w:rFonts w:hint="eastAsia" w:ascii="宋体" w:hAnsi="宋体" w:cs="宋体"/>
          <w:szCs w:val="21"/>
        </w:rPr>
        <w:outlineLvl w:val="1"/>
      </w:pPr>
      <w:r/>
      <w:bookmarkStart w:id="278" w:name="_Toc7647"/>
      <w:r>
        <w:rPr>
          <w:rFonts w:hint="eastAsia" w:ascii="宋体" w:hAnsi="宋体" w:cs="宋体"/>
          <w:b/>
          <w:szCs w:val="21"/>
        </w:rPr>
        <w:t xml:space="preserve">四、方案要求</w:t>
      </w:r>
      <w:r>
        <w:rPr>
          <w:rFonts w:hint="eastAsia" w:ascii="宋体" w:hAnsi="宋体" w:cs="宋体"/>
          <w:b/>
          <w:bCs/>
          <w:color w:val="ff0000"/>
          <w:szCs w:val="21"/>
          <w:lang w:eastAsia="zh-CN"/>
        </w:rPr>
        <w:t xml:space="preserve">（非技术及商务响应评分项）</w:t>
      </w:r>
      <w:r>
        <w:rPr>
          <w:rFonts w:hint="eastAsia" w:ascii="宋体" w:hAnsi="宋体" w:cs="宋体"/>
          <w:szCs w:val="21"/>
        </w:rPr>
        <w:t xml:space="preserve">：</w:t>
      </w:r>
      <w:bookmarkEnd w:id="278"/>
      <w:r>
        <w:rPr>
          <w:rFonts w:hint="eastAsia" w:ascii="宋体" w:hAnsi="宋体" w:cs="宋体"/>
          <w:szCs w:val="21"/>
        </w:rPr>
      </w:r>
      <w:r/>
    </w:p>
    <w:p>
      <w:pPr>
        <w:pStyle w:val="1275"/>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275"/>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275"/>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275"/>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275"/>
        <w:jc w:val="center"/>
        <w:spacing w:line="360" w:lineRule="auto"/>
        <w:rPr>
          <w:rFonts w:hint="eastAsia" w:ascii="宋体" w:hAnsi="宋体" w:cs="宋体"/>
          <w:b/>
          <w:sz w:val="28"/>
          <w:szCs w:val="28"/>
        </w:rPr>
        <w:outlineLvl w:val="0"/>
      </w:pPr>
      <w:r>
        <w:rPr>
          <w:rFonts w:hint="eastAsia" w:ascii="宋体" w:hAnsi="宋体" w:cs="宋体"/>
          <w:b/>
          <w:sz w:val="28"/>
          <w:szCs w:val="28"/>
        </w:rPr>
        <w:br w:type="page" w:clear="all"/>
      </w:r>
      <w:bookmarkStart w:id="279" w:name="_Toc20618"/>
      <w:r>
        <w:rPr>
          <w:rFonts w:hint="eastAsia" w:ascii="宋体" w:hAnsi="宋体" w:cs="宋体"/>
          <w:b/>
          <w:sz w:val="28"/>
          <w:szCs w:val="28"/>
        </w:rPr>
        <w:t xml:space="preserve">第五章</w:t>
      </w:r>
      <w:bookmarkEnd w:id="245"/>
      <w:r>
        <w:rPr>
          <w:rFonts w:hint="eastAsia" w:ascii="宋体" w:hAnsi="宋体" w:cs="宋体"/>
          <w:b/>
          <w:sz w:val="28"/>
          <w:szCs w:val="28"/>
        </w:rPr>
        <w:t xml:space="preserve"> 拟签订的合同文本</w:t>
      </w:r>
      <w:bookmarkEnd w:id="279"/>
      <w:r>
        <w:rPr>
          <w:rFonts w:hint="eastAsia" w:ascii="宋体" w:hAnsi="宋体" w:cs="宋体"/>
          <w:b/>
          <w:sz w:val="28"/>
          <w:szCs w:val="28"/>
        </w:rPr>
      </w:r>
      <w:r/>
    </w:p>
    <w:p>
      <w:pPr>
        <w:pStyle w:val="1275"/>
        <w:jc w:val="center"/>
        <w:spacing w:line="440" w:lineRule="exact"/>
        <w:rPr>
          <w:rFonts w:hint="eastAsia" w:ascii="宋体" w:hAnsi="宋体" w:cs="宋体"/>
          <w:bCs/>
          <w:sz w:val="28"/>
          <w:szCs w:val="28"/>
        </w:rPr>
      </w:pPr>
      <w:r/>
      <w:bookmarkStart w:id="280" w:name="_Toc6085"/>
      <w:r/>
      <w:bookmarkStart w:id="281" w:name="_Toc15467"/>
      <w:r/>
      <w:bookmarkStart w:id="282" w:name="_Toc20052"/>
      <w:r>
        <w:rPr>
          <w:rFonts w:hint="eastAsia" w:ascii="宋体" w:hAnsi="宋体" w:cs="宋体"/>
          <w:bCs/>
          <w:sz w:val="28"/>
          <w:szCs w:val="28"/>
        </w:rPr>
        <w:t xml:space="preserve">（参考格式，本合同内容条款在正式签署前可具体补充细化，仅作参考，最终合同以采购人法务审查通过的版本为准）</w:t>
      </w:r>
      <w:bookmarkEnd w:id="280"/>
      <w:r>
        <w:rPr>
          <w:rFonts w:hint="eastAsia" w:ascii="宋体" w:hAnsi="宋体" w:cs="宋体"/>
          <w:bCs/>
          <w:sz w:val="28"/>
          <w:szCs w:val="28"/>
        </w:rPr>
      </w:r>
      <w:r/>
    </w:p>
    <w:p>
      <w:pPr>
        <w:pStyle w:val="1275"/>
        <w:jc w:val="center"/>
        <w:rPr>
          <w:b/>
          <w:sz w:val="24"/>
          <w:u w:val="single"/>
        </w:rPr>
      </w:pPr>
      <w:r>
        <w:rPr>
          <w:b/>
          <w:sz w:val="24"/>
          <w:u w:val="single"/>
        </w:rPr>
      </w:r>
      <w:r/>
    </w:p>
    <w:p>
      <w:pPr>
        <w:pStyle w:val="1275"/>
        <w:jc w:val="center"/>
        <w:rPr>
          <w:b/>
          <w:sz w:val="24"/>
        </w:rPr>
      </w:pPr>
      <w:r>
        <w:rPr>
          <w:b/>
          <w:sz w:val="24"/>
          <w:u w:val="single"/>
        </w:rPr>
        <w:t xml:space="preserve">（采购人）（项目名称）</w:t>
      </w:r>
      <w:r>
        <w:rPr>
          <w:b/>
          <w:sz w:val="24"/>
        </w:rPr>
        <w:t xml:space="preserve">采购合同</w:t>
      </w:r>
      <w:r>
        <w:rPr>
          <w:b/>
          <w:sz w:val="24"/>
        </w:rPr>
      </w:r>
      <w:r/>
    </w:p>
    <w:p>
      <w:pPr>
        <w:pStyle w:val="1275"/>
        <w:jc w:val="center"/>
        <w:rPr>
          <w:b/>
          <w:sz w:val="24"/>
        </w:rPr>
      </w:pPr>
      <w:r>
        <w:rPr>
          <w:b/>
          <w:sz w:val="24"/>
        </w:rPr>
        <w:t xml:space="preserve">（货物类模板）</w:t>
      </w:r>
      <w:r>
        <w:rPr>
          <w:b/>
          <w:sz w:val="24"/>
        </w:rPr>
      </w:r>
      <w:r/>
    </w:p>
    <w:p>
      <w:pPr>
        <w:pStyle w:val="1275"/>
        <w:jc w:val="center"/>
        <w:rPr>
          <w:szCs w:val="21"/>
        </w:rPr>
      </w:pPr>
      <w:r>
        <w:rPr>
          <w:szCs w:val="21"/>
        </w:rPr>
      </w:r>
      <w:r/>
    </w:p>
    <w:p>
      <w:pPr>
        <w:pStyle w:val="1275"/>
        <w:spacing w:line="440" w:lineRule="exact"/>
        <w:rPr>
          <w:rFonts w:hint="eastAsia" w:ascii="宋体" w:hAnsi="宋体" w:eastAsia="宋体" w:cs="宋体"/>
          <w:sz w:val="21"/>
          <w:szCs w:val="21"/>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 w:val="21"/>
          <w:szCs w:val="21"/>
        </w:rPr>
        <w:t xml:space="preserve">买方（甲方）：江苏省计量科学研究院（江苏省能源计量数据中心）</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卖方（乙方）： </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采购代理机构： </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一、说明：</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受买方委托，采购代理机构于2026年 月 日组织了江苏省计量科学研究院（江苏省能源计量数据中心）所需</w:t>
      </w:r>
      <w:r>
        <w:rPr>
          <w:rFonts w:hint="eastAsia" w:ascii="宋体" w:hAnsi="宋体" w:eastAsia="宋体" w:cs="宋体"/>
          <w:sz w:val="21"/>
          <w:szCs w:val="21"/>
        </w:rPr>
        <w:t xml:space="preserve">检测设备</w:t>
      </w:r>
      <w:r>
        <w:rPr>
          <w:rFonts w:hint="eastAsia" w:ascii="宋体" w:hAnsi="宋体" w:eastAsia="宋体" w:cs="宋体"/>
          <w:sz w:val="21"/>
          <w:szCs w:val="21"/>
        </w:rPr>
        <w:t xml:space="preserve">采购项目（项目编号：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）的评审活动，经评委认真严格地评审，确定由卖方成交。</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二、合同条款：</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合同由买卖双方签订，并依据本项目采购文件规定，按下列合同条款买方同意购入，卖方同意卖出下列设备及服务。</w:t>
      </w:r>
      <w:r>
        <w:rPr>
          <w:rFonts w:hint="eastAsia" w:ascii="宋体" w:hAnsi="宋体" w:eastAsia="宋体" w:cs="宋体"/>
          <w:sz w:val="21"/>
          <w:szCs w:val="21"/>
        </w:rPr>
      </w:r>
      <w:r/>
    </w:p>
    <w:p>
      <w:pPr>
        <w:pStyle w:val="1275"/>
        <w:contextualSpacing/>
        <w:ind w:left="720" w:firstLine="480"/>
        <w:jc w:val="left"/>
        <w:spacing w:before="100" w:after="100" w:line="360" w:lineRule="auto"/>
        <w:widowControl/>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1.设备名称、型号规格、数量及服务内容。</w:t>
      </w:r>
      <w:r>
        <w:rPr>
          <w:rFonts w:hint="eastAsia" w:ascii="宋体" w:hAnsi="宋体" w:eastAsia="宋体" w:cs="宋体"/>
          <w:sz w:val="21"/>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275"/>
              <w:ind w:firstLine="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329" w:type="dxa"/>
            <w:vAlign w:val="center"/>
            <w:textDirection w:val="lrTb"/>
            <w:noWrap w:val="false"/>
          </w:tcPr>
          <w:p>
            <w:pPr>
              <w:pStyle w:val="1275"/>
              <w:ind w:firstLine="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产品名称</w:t>
            </w:r>
            <w:r>
              <w:rPr>
                <w:rFonts w:hint="eastAsia" w:ascii="宋体" w:hAnsi="宋体" w:eastAsia="宋体" w:cs="宋体"/>
                <w:sz w:val="21"/>
                <w:szCs w:val="21"/>
              </w:rPr>
            </w:r>
            <w:r/>
          </w:p>
        </w:tc>
        <w:tc>
          <w:tcPr>
            <w:tcW w:w="655" w:type="dxa"/>
            <w:vAlign w:val="center"/>
            <w:textDirection w:val="lrTb"/>
            <w:noWrap w:val="false"/>
          </w:tcPr>
          <w:p>
            <w:pPr>
              <w:pStyle w:val="1275"/>
              <w:ind w:firstLine="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型号</w:t>
            </w:r>
            <w:r>
              <w:rPr>
                <w:rFonts w:hint="eastAsia" w:ascii="宋体" w:hAnsi="宋体" w:eastAsia="宋体" w:cs="宋体"/>
                <w:sz w:val="21"/>
                <w:szCs w:val="21"/>
              </w:rPr>
            </w:r>
            <w:r/>
          </w:p>
        </w:tc>
        <w:tc>
          <w:tcPr>
            <w:tcW w:w="494" w:type="dxa"/>
            <w:vAlign w:val="center"/>
            <w:textDirection w:val="lrTb"/>
            <w:noWrap w:val="false"/>
          </w:tcPr>
          <w:p>
            <w:pPr>
              <w:pStyle w:val="1275"/>
              <w:ind w:firstLine="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tcW w:w="504" w:type="dxa"/>
            <w:vAlign w:val="center"/>
            <w:textDirection w:val="lrTb"/>
            <w:noWrap w:val="false"/>
          </w:tcPr>
          <w:p>
            <w:pPr>
              <w:pStyle w:val="1275"/>
              <w:ind w:firstLine="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828" w:type="dxa"/>
            <w:vAlign w:val="center"/>
            <w:textDirection w:val="lrTb"/>
            <w:noWrap w:val="false"/>
          </w:tcPr>
          <w:p>
            <w:pPr>
              <w:pStyle w:val="1275"/>
              <w:ind w:firstLine="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单价（元）</w:t>
            </w:r>
            <w:r>
              <w:rPr>
                <w:rFonts w:hint="eastAsia" w:ascii="宋体" w:hAnsi="宋体" w:eastAsia="宋体" w:cs="宋体"/>
                <w:sz w:val="21"/>
                <w:szCs w:val="21"/>
              </w:rPr>
            </w:r>
            <w:r/>
          </w:p>
        </w:tc>
        <w:tc>
          <w:tcPr>
            <w:tcW w:w="735" w:type="dxa"/>
            <w:vAlign w:val="center"/>
            <w:textDirection w:val="lrTb"/>
            <w:noWrap w:val="false"/>
          </w:tcPr>
          <w:p>
            <w:pPr>
              <w:pStyle w:val="1275"/>
              <w:ind w:firstLine="0"/>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总价（元）</w:t>
            </w:r>
            <w:r>
              <w:rPr>
                <w:rFonts w:hint="eastAsia" w:ascii="宋体" w:hAnsi="宋体" w:eastAsia="宋体" w:cs="宋体"/>
                <w:sz w:val="21"/>
                <w:szCs w:val="21"/>
              </w:rPr>
            </w:r>
            <w:r/>
          </w:p>
        </w:tc>
      </w:tr>
      <w:tr>
        <w:trPr>
          <w:trHeight w:val="19"/>
        </w:trPr>
        <w:tc>
          <w:tcPr>
            <w:tcW w:w="452" w:type="dxa"/>
            <w:vAlign w:val="center"/>
            <w:textDirection w:val="lrTb"/>
            <w:noWrap w:val="false"/>
          </w:tcPr>
          <w:p>
            <w:pPr>
              <w:pStyle w:val="1275"/>
              <w:ind w:firstLine="0"/>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1329"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655"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494"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504"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828"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735"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r>
      <w:tr>
        <w:trPr>
          <w:trHeight w:val="19"/>
        </w:trPr>
        <w:tc>
          <w:tcPr>
            <w:tcW w:w="452"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1329"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655"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494"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504"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828"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735" w:type="dxa"/>
            <w:vAlign w:val="center"/>
            <w:textDirection w:val="lrTb"/>
            <w:noWrap w:val="false"/>
          </w:tcPr>
          <w:p>
            <w:pPr>
              <w:pStyle w:val="1275"/>
              <w:ind w:firstLine="480"/>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r>
      <w:tr>
        <w:trPr>
          <w:trHeight w:val="19"/>
        </w:trPr>
        <w:tc>
          <w:tcPr>
            <w:gridSpan w:val="4"/>
            <w:tcW w:w="5484" w:type="dxa"/>
            <w:vAlign w:val="center"/>
            <w:textDirection w:val="lrTb"/>
            <w:noWrap w:val="false"/>
          </w:tcPr>
          <w:p>
            <w:pPr>
              <w:pStyle w:val="1275"/>
              <w:ind w:firstLine="482"/>
              <w:jc w:val="center"/>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b/>
                <w:bCs/>
                <w:sz w:val="21"/>
                <w:szCs w:val="21"/>
              </w:rPr>
              <w:t xml:space="preserve">合计（元）</w:t>
            </w:r>
            <w:r>
              <w:rPr>
                <w:rFonts w:hint="eastAsia" w:ascii="宋体" w:hAnsi="宋体" w:eastAsia="宋体" w:cs="宋体"/>
                <w:sz w:val="21"/>
                <w:szCs w:val="21"/>
              </w:rPr>
            </w:r>
            <w:r/>
          </w:p>
        </w:tc>
        <w:tc>
          <w:tcPr>
            <w:gridSpan w:val="3"/>
            <w:tcW w:w="3867" w:type="dxa"/>
            <w:vAlign w:val="center"/>
            <w:textDirection w:val="lrTb"/>
            <w:noWrap w:val="false"/>
          </w:tcPr>
          <w:p>
            <w:pPr>
              <w:pStyle w:val="1275"/>
              <w:ind w:firstLine="482"/>
              <w:spacing w:before="0" w:after="0" w:line="360" w:lineRule="auto"/>
              <w:tabs>
                <w:tab w:val="left" w:pos="-235" w:leader="none"/>
              </w:tabs>
              <w:rPr>
                <w:rFonts w:hint="eastAsia"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sz w:val="21"/>
                <w:szCs w:val="21"/>
              </w:rPr>
            </w:r>
            <w:r/>
          </w:p>
        </w:tc>
      </w:tr>
    </w:tbl>
    <w:p>
      <w:pPr>
        <w:pStyle w:val="1275"/>
        <w:ind w:left="108" w:firstLine="420"/>
        <w:jc w:val="left"/>
        <w:spacing w:before="120" w:after="120" w:line="360" w:lineRule="auto"/>
        <w:tabs>
          <w:tab w:val="left" w:pos="4785" w:leader="none"/>
        </w:tabs>
        <w:rPr>
          <w:rFonts w:hint="eastAsia" w:ascii="宋体" w:hAnsi="宋体" w:eastAsia="宋体" w:cs="宋体"/>
          <w:bCs/>
          <w:sz w:val="21"/>
          <w:szCs w:val="21"/>
        </w:rPr>
      </w:pPr>
      <w:r>
        <w:rPr>
          <w:rFonts w:hint="eastAsia" w:ascii="宋体" w:hAnsi="宋体" w:eastAsia="宋体" w:cs="宋体"/>
          <w:sz w:val="21"/>
          <w:szCs w:val="21"/>
        </w:rPr>
        <w:t xml:space="preserve">2.合同总价（大写）：</w:t>
      </w:r>
      <w:r>
        <w:rPr>
          <w:rFonts w:hint="eastAsia" w:ascii="宋体" w:hAnsi="宋体" w:eastAsia="宋体" w:cs="宋体"/>
          <w:b/>
          <w:bCs/>
          <w:sz w:val="21"/>
          <w:szCs w:val="21"/>
          <w:u w:val="single"/>
        </w:rPr>
        <w:t xml:space="preserve">人民币           </w:t>
      </w:r>
      <w:r>
        <w:rPr>
          <w:rFonts w:hint="eastAsia" w:ascii="宋体" w:hAnsi="宋体" w:eastAsia="宋体" w:cs="宋体"/>
          <w:sz w:val="21"/>
          <w:szCs w:val="21"/>
        </w:rPr>
        <w:t xml:space="preserve">。</w:t>
      </w:r>
      <w:r>
        <w:rPr>
          <w:rFonts w:hint="eastAsia" w:ascii="宋体" w:hAnsi="宋体" w:eastAsia="宋体" w:cs="宋体"/>
          <w:bCs/>
          <w:sz w:val="21"/>
          <w:szCs w:val="21"/>
        </w:rPr>
        <w:t xml:space="preserve">（含税）</w:t>
      </w:r>
      <w:r>
        <w:rPr>
          <w:rFonts w:hint="eastAsia" w:ascii="宋体" w:hAnsi="宋体" w:eastAsia="宋体" w:cs="宋体"/>
          <w:bCs/>
          <w:sz w:val="21"/>
          <w:szCs w:val="21"/>
        </w:rPr>
      </w:r>
      <w:r/>
    </w:p>
    <w:p>
      <w:pPr>
        <w:pStyle w:val="1275"/>
        <w:ind w:left="108" w:firstLine="1470"/>
        <w:jc w:val="left"/>
        <w:spacing w:before="120" w:after="120" w:line="360" w:lineRule="auto"/>
        <w:tabs>
          <w:tab w:val="left" w:pos="4785" w:leader="none"/>
        </w:tabs>
        <w:rPr>
          <w:rFonts w:hint="eastAsia" w:ascii="宋体" w:hAnsi="宋体" w:eastAsia="宋体" w:cs="宋体"/>
          <w:bCs/>
          <w:sz w:val="21"/>
          <w:szCs w:val="21"/>
        </w:rPr>
      </w:pPr>
      <w:r>
        <w:rPr>
          <w:rFonts w:hint="eastAsia" w:ascii="宋体" w:hAnsi="宋体" w:eastAsia="宋体" w:cs="宋体"/>
          <w:bCs/>
          <w:sz w:val="21"/>
          <w:szCs w:val="21"/>
        </w:rPr>
        <w:t xml:space="preserve">（小写）：</w:t>
      </w:r>
      <w:r>
        <w:rPr>
          <w:rFonts w:hint="eastAsia" w:ascii="宋体" w:hAnsi="宋体" w:eastAsia="宋体" w:cs="宋体"/>
          <w:b/>
          <w:bCs/>
          <w:sz w:val="21"/>
          <w:szCs w:val="21"/>
          <w:u w:val="single"/>
        </w:rPr>
        <w:t xml:space="preserve">￥            元。</w:t>
      </w:r>
      <w:r>
        <w:rPr>
          <w:rFonts w:hint="eastAsia" w:ascii="宋体" w:hAnsi="宋体" w:eastAsia="宋体" w:cs="宋体"/>
          <w:bCs/>
          <w:sz w:val="21"/>
          <w:szCs w:val="21"/>
        </w:rPr>
      </w:r>
      <w:r/>
    </w:p>
    <w:p>
      <w:pPr>
        <w:pStyle w:val="1275"/>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bCs/>
          <w:sz w:val="21"/>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3. 交付使用时间：</w:t>
      </w:r>
      <w:r>
        <w:rPr>
          <w:rFonts w:hint="eastAsia" w:ascii="宋体" w:hAnsi="宋体" w:eastAsia="宋体" w:cs="宋体"/>
          <w:b/>
          <w:bCs/>
          <w:sz w:val="21"/>
          <w:szCs w:val="21"/>
          <w:u w:val="single"/>
        </w:rPr>
        <w:t xml:space="preserve">合同签订后</w:t>
      </w:r>
      <w:r>
        <w:rPr>
          <w:rFonts w:hint="eastAsia" w:ascii="宋体" w:hAnsi="宋体" w:eastAsia="宋体" w:cs="宋体"/>
          <w:b/>
          <w:bCs/>
          <w:sz w:val="21"/>
          <w:szCs w:val="21"/>
          <w:u w:val="single"/>
          <w:lang w:val="en-US" w:eastAsia="zh-CN"/>
        </w:rPr>
        <w:t xml:space="preserve">X</w:t>
      </w:r>
      <w:r>
        <w:rPr>
          <w:rFonts w:hint="eastAsia" w:ascii="宋体" w:hAnsi="宋体" w:eastAsia="宋体" w:cs="宋体"/>
          <w:b/>
          <w:bCs/>
          <w:sz w:val="21"/>
          <w:szCs w:val="21"/>
          <w:u w:val="single"/>
        </w:rPr>
        <w:t xml:space="preserve">个月内</w:t>
      </w:r>
      <w:r>
        <w:rPr>
          <w:rFonts w:hint="eastAsia" w:ascii="宋体" w:hAnsi="宋体" w:eastAsia="宋体" w:cs="宋体"/>
          <w:bCs/>
          <w:sz w:val="21"/>
          <w:szCs w:val="21"/>
        </w:rPr>
        <w:t xml:space="preserve">全部设备、材料经检定合格后全部运抵买方现场，并安装、调试结束，待验收合格，交付买方使用。</w:t>
      </w:r>
      <w:r>
        <w:rPr>
          <w:rFonts w:hint="eastAsia" w:ascii="宋体" w:hAnsi="宋体" w:eastAsia="宋体" w:cs="宋体"/>
          <w:sz w:val="21"/>
          <w:szCs w:val="21"/>
        </w:rPr>
      </w:r>
      <w:r/>
    </w:p>
    <w:p>
      <w:pPr>
        <w:pStyle w:val="1275"/>
        <w:ind w:firstLine="525"/>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4. 收货人：</w:t>
      </w:r>
      <w:r>
        <w:rPr>
          <w:rFonts w:hint="eastAsia" w:ascii="宋体" w:hAnsi="宋体" w:eastAsia="宋体" w:cs="宋体"/>
          <w:b/>
          <w:sz w:val="21"/>
          <w:szCs w:val="21"/>
          <w:u w:val="single"/>
        </w:rPr>
        <w:t xml:space="preserve">江苏省计量科学研究院（江苏省能源计量数据中心）</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1275"/>
        <w:ind w:firstLine="525"/>
        <w:spacing w:before="120" w:after="120" w:line="360" w:lineRule="auto"/>
        <w:tabs>
          <w:tab w:val="left" w:pos="-235" w:leader="none"/>
        </w:tabs>
        <w:rPr>
          <w:rFonts w:hint="eastAsia" w:ascii="宋体" w:hAnsi="宋体" w:eastAsia="宋体" w:cs="宋体"/>
          <w:b/>
          <w:sz w:val="21"/>
          <w:szCs w:val="21"/>
          <w:u w:val="single"/>
        </w:rPr>
      </w:pPr>
      <w:r>
        <w:rPr>
          <w:rFonts w:hint="eastAsia" w:ascii="宋体" w:hAnsi="宋体" w:eastAsia="宋体" w:cs="宋体"/>
          <w:sz w:val="21"/>
          <w:szCs w:val="21"/>
        </w:rPr>
        <w:t xml:space="preserve">5. 交货地点：</w:t>
      </w:r>
      <w:r>
        <w:rPr>
          <w:rFonts w:hint="eastAsia" w:ascii="宋体" w:hAnsi="宋体" w:eastAsia="宋体" w:cs="宋体"/>
          <w:b/>
          <w:sz w:val="21"/>
          <w:szCs w:val="21"/>
          <w:u w:val="single"/>
        </w:rPr>
        <w:t xml:space="preserve">买方指定地点。</w:t>
      </w:r>
      <w:r>
        <w:rPr>
          <w:rFonts w:hint="eastAsia" w:ascii="宋体" w:hAnsi="宋体" w:eastAsia="宋体" w:cs="宋体"/>
          <w:b/>
          <w:sz w:val="21"/>
          <w:szCs w:val="21"/>
          <w:u w:val="single"/>
        </w:rPr>
      </w:r>
      <w:r/>
    </w:p>
    <w:p>
      <w:pPr>
        <w:pStyle w:val="1275"/>
        <w:ind w:firstLine="525"/>
        <w:spacing w:before="120" w:after="120" w:line="360" w:lineRule="auto"/>
        <w:tabs>
          <w:tab w:val="left" w:pos="-235" w:leader="none"/>
        </w:tabs>
        <w:rPr>
          <w:rFonts w:hint="eastAsia" w:ascii="宋体" w:hAnsi="宋体" w:eastAsia="宋体" w:cs="宋体"/>
          <w:sz w:val="21"/>
          <w:szCs w:val="21"/>
          <w:u w:val="single"/>
        </w:rPr>
      </w:pPr>
      <w:r>
        <w:rPr>
          <w:rFonts w:hint="eastAsia" w:ascii="宋体" w:hAnsi="宋体" w:eastAsia="宋体" w:cs="宋体"/>
          <w:sz w:val="21"/>
          <w:szCs w:val="21"/>
        </w:rPr>
        <w:t xml:space="preserve">6. 设备的制造应符合下列标准或规范并据此验收：</w:t>
      </w:r>
      <w:r>
        <w:rPr>
          <w:rFonts w:hint="eastAsia" w:ascii="宋体" w:hAnsi="宋体" w:eastAsia="宋体" w:cs="宋体"/>
          <w:b/>
          <w:sz w:val="21"/>
          <w:szCs w:val="21"/>
          <w:u w:val="single"/>
        </w:rPr>
        <w:t xml:space="preserve">招标文件、投标文件、双方签订的技术协议、国家的相关标准和规范。</w:t>
      </w:r>
      <w:r>
        <w:rPr>
          <w:rFonts w:hint="eastAsia" w:ascii="宋体" w:hAnsi="宋体" w:eastAsia="宋体" w:cs="宋体"/>
          <w:sz w:val="21"/>
          <w:szCs w:val="21"/>
          <w:u w:val="single"/>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8. 买方付款方式及期限：</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bCs/>
          <w:sz w:val="21"/>
          <w:szCs w:val="21"/>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sz w:val="21"/>
          <w:szCs w:val="21"/>
        </w:rPr>
        <w:t xml:space="preserve">若产品存在质量问题，则不受该付款条件约束，应按照本合同条款其他要求以及</w:t>
      </w:r>
      <w:r>
        <w:rPr>
          <w:rFonts w:hint="eastAsia" w:ascii="宋体" w:hAnsi="宋体" w:eastAsia="宋体" w:cs="宋体"/>
          <w:sz w:val="21"/>
          <w:szCs w:val="21"/>
        </w:rPr>
        <w:t xml:space="preserve">民法典</w:t>
      </w:r>
      <w:r>
        <w:rPr>
          <w:rFonts w:hint="eastAsia" w:ascii="宋体" w:hAnsi="宋体" w:eastAsia="宋体" w:cs="宋体"/>
          <w:sz w:val="21"/>
          <w:szCs w:val="21"/>
        </w:rPr>
        <w:t xml:space="preserve">有关规定执行。</w:t>
      </w:r>
      <w:r>
        <w:rPr>
          <w:rFonts w:hint="eastAsia" w:ascii="宋体" w:hAnsi="宋体" w:eastAsia="宋体" w:cs="宋体"/>
          <w:sz w:val="21"/>
          <w:szCs w:val="21"/>
        </w:rPr>
      </w:r>
      <w:r/>
    </w:p>
    <w:p>
      <w:pPr>
        <w:pStyle w:val="1275"/>
        <w:ind w:left="108"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9. 验收</w:t>
      </w:r>
      <w:r>
        <w:rPr>
          <w:rFonts w:hint="eastAsia" w:ascii="宋体" w:hAnsi="宋体" w:eastAsia="宋体" w:cs="宋体"/>
          <w:sz w:val="21"/>
          <w:szCs w:val="21"/>
        </w:rPr>
      </w:r>
      <w:r/>
    </w:p>
    <w:p>
      <w:pPr>
        <w:pStyle w:val="1275"/>
        <w:ind w:left="8" w:firstLine="569"/>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 质保期及售后服务</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10.1 卖方所供设备、材料及安装的质量保证期：</w:t>
      </w:r>
      <w:r>
        <w:rPr>
          <w:rFonts w:hint="eastAsia" w:ascii="宋体" w:hAnsi="宋体" w:eastAsia="宋体" w:cs="宋体"/>
          <w:sz w:val="21"/>
          <w:szCs w:val="21"/>
          <w:u w:val="single"/>
        </w:rPr>
        <w:t xml:space="preserve">详见投标文件要求</w:t>
      </w:r>
      <w:r>
        <w:rPr>
          <w:rFonts w:hint="eastAsia" w:ascii="宋体" w:hAnsi="宋体" w:eastAsia="宋体" w:cs="宋体"/>
          <w:sz w:val="21"/>
          <w:szCs w:val="21"/>
        </w:rPr>
        <w:t xml:space="preserve">。质保期过后，实行终身有偿售后服务。</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11. 技术资料</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按投标文件及双方签订的《技术协议》中的要求提供相关资料。</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12.货物风险承担</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12.1卖方应当按照买方指定的地点交货，需要运输的货物，卖方应当妥善保障货物在运输过程中的安全。</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12.2卖方将货物运输至买方指定的地点后，应当及时通知买方进行接收，由买方进行检验。</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12.3在货物验收合格之前毁损、灭失的风险由卖方承担，因买方原因造成货物毁损、灭失的除外。</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 卖方的违约责任</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13.1卖方未按合同规定的质量要求交货，买方有权拒收，由此造成的直接损失和间接损失由卖方赔偿。</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13.4卖方不能交付或不能完成合同，买方有权解除本合同并要求卖方双倍返还买方已支付的货款。</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13.7卖方履行义务不符合合同约定时，买方将扣减10%合同款。</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14. 买方的违约责任：</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14.1买方未按合同规定的时间和要求向卖方提供技术资料等，卖方交付时间顺延。</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16. 卖方在设备安装、调试、验收过程中，买方提供下列条件和配合，超出下列范围的由卖方自理：无</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18. 合同的生效：本合同一式肆份，各份具有同等法律效力，自买卖双方签字、盖章并加盖骑缝章之日起生效。</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三、廉洁条款</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四、保密条款</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五、送达条款</w:t>
      </w:r>
      <w:r>
        <w:rPr>
          <w:rFonts w:hint="eastAsia" w:ascii="宋体" w:hAnsi="宋体" w:eastAsia="宋体" w:cs="宋体"/>
          <w:sz w:val="21"/>
          <w:szCs w:val="21"/>
        </w:rPr>
      </w:r>
      <w:r/>
    </w:p>
    <w:p>
      <w:pPr>
        <w:pStyle w:val="1275"/>
        <w:ind w:firstLine="420"/>
        <w:jc w:val="left"/>
        <w:spacing w:before="120" w:after="120" w:line="360" w:lineRule="auto"/>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sz w:val="21"/>
          <w:szCs w:val="21"/>
        </w:rPr>
      </w:r>
      <w:r/>
    </w:p>
    <w:p>
      <w:pPr>
        <w:pStyle w:val="1275"/>
        <w:ind w:firstLine="480"/>
        <w:jc w:val="left"/>
        <w:spacing w:before="120" w:after="120" w:line="440" w:lineRule="exact"/>
        <w:widowControl/>
        <w:rPr>
          <w:rFonts w:ascii="宋体" w:hAnsi="宋体" w:eastAsia="宋体" w:cs="宋体"/>
          <w:sz w:val="24"/>
          <w:szCs w:val="24"/>
        </w:rPr>
      </w:pPr>
      <w:r>
        <w:rPr>
          <w:rFonts w:ascii="宋体" w:hAnsi="宋体" w:eastAsia="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买方（盖章）：</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单位名称：</w:t>
            </w:r>
            <w:r>
              <w:rPr>
                <w:rFonts w:ascii="宋体" w:hAnsi="宋体" w:eastAsia="宋体" w:cs="宋体"/>
                <w:szCs w:val="21"/>
              </w:rPr>
              <w:t xml:space="preserve"> </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单位地址：</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法定代表人：</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委托代理人（签字）：</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联系方式：</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签订日期：  年  月  日</w:t>
            </w:r>
            <w:r>
              <w:rPr>
                <w:rFonts w:ascii="宋体" w:hAnsi="宋体" w:eastAsia="宋体" w:cs="宋体"/>
                <w:szCs w:val="21"/>
              </w:rPr>
            </w:r>
            <w:r/>
          </w:p>
        </w:tc>
        <w:tc>
          <w:tcPr>
            <w:tcW w:w="4684" w:type="dxa"/>
            <w:vAlign w:val="top"/>
            <w:textDirection w:val="lrTb"/>
            <w:noWrap w:val="false"/>
          </w:tcPr>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卖方（盖章）：</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单位名称：</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单位地址：</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法定代表人：</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委托代理人（签字）：</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电话：</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传真：</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开户银行：</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lang w:eastAsia="zh-CN"/>
              </w:rPr>
              <w:t xml:space="preserve">账号</w:t>
            </w:r>
            <w:r>
              <w:rPr>
                <w:rFonts w:hint="eastAsia" w:ascii="宋体" w:hAnsi="宋体" w:eastAsia="宋体" w:cs="宋体"/>
                <w:szCs w:val="21"/>
              </w:rPr>
              <w:t xml:space="preserve">：</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税号：</w:t>
            </w:r>
            <w:r>
              <w:rPr>
                <w:rFonts w:ascii="宋体" w:hAnsi="宋体" w:eastAsia="宋体" w:cs="宋体"/>
                <w:szCs w:val="21"/>
              </w:rPr>
            </w:r>
            <w:r/>
          </w:p>
          <w:p>
            <w:pPr>
              <w:pStyle w:val="1275"/>
              <w:ind w:firstLine="420"/>
              <w:spacing w:before="120" w:after="120" w:line="400" w:lineRule="exact"/>
              <w:rPr>
                <w:rFonts w:ascii="宋体" w:hAnsi="宋体" w:eastAsia="宋体" w:cs="宋体"/>
                <w:szCs w:val="21"/>
              </w:rPr>
            </w:pPr>
            <w:r>
              <w:rPr>
                <w:rFonts w:hint="eastAsia" w:ascii="宋体" w:hAnsi="宋体" w:eastAsia="宋体" w:cs="宋体"/>
                <w:szCs w:val="21"/>
              </w:rPr>
              <w:t xml:space="preserve">签订日期：  年  月  日</w:t>
            </w:r>
            <w:r>
              <w:rPr>
                <w:rFonts w:ascii="宋体" w:hAnsi="宋体" w:eastAsia="宋体" w:cs="宋体"/>
                <w:szCs w:val="21"/>
              </w:rPr>
            </w:r>
            <w:r/>
          </w:p>
        </w:tc>
      </w:tr>
    </w:tbl>
    <w:p>
      <w:pPr>
        <w:pStyle w:val="1275"/>
        <w:jc w:val="center"/>
        <w:spacing w:line="360" w:lineRule="auto"/>
        <w:rPr>
          <w:rFonts w:hint="eastAsia" w:ascii="宋体" w:hAnsi="宋体" w:cs="宋体"/>
          <w:b/>
          <w:szCs w:val="21"/>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275"/>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275"/>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275"/>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275"/>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275"/>
        <w:spacing w:line="360" w:lineRule="auto"/>
        <w:rPr>
          <w:rFonts w:ascii="宋体" w:hAnsi="宋体" w:cs="宋体"/>
          <w:sz w:val="24"/>
          <w:szCs w:val="24"/>
        </w:rPr>
      </w:pPr>
      <w:r>
        <w:rPr>
          <w:rFonts w:ascii="宋体" w:hAnsi="宋体" w:cs="宋体"/>
          <w:sz w:val="24"/>
          <w:szCs w:val="24"/>
        </w:rPr>
      </w:r>
      <w:r/>
    </w:p>
    <w:p>
      <w:pPr>
        <w:pStyle w:val="1275"/>
        <w:jc w:val="center"/>
        <w:spacing w:line="440" w:lineRule="exact"/>
        <w:rPr>
          <w:rFonts w:hint="eastAsia" w:ascii="宋体" w:cs="宋体"/>
          <w:b/>
          <w:sz w:val="28"/>
          <w:szCs w:val="28"/>
        </w:rPr>
        <w:outlineLvl w:val="0"/>
      </w:pPr>
      <w:r>
        <w:rPr>
          <w:rFonts w:hint="eastAsia" w:ascii="宋体" w:cs="宋体"/>
          <w:b/>
          <w:sz w:val="28"/>
          <w:szCs w:val="28"/>
        </w:rPr>
        <w:br w:type="page" w:clear="all"/>
      </w:r>
      <w:bookmarkStart w:id="283" w:name="_Toc3234"/>
      <w:r>
        <w:rPr>
          <w:rFonts w:hint="eastAsia" w:ascii="宋体" w:cs="宋体"/>
          <w:b/>
          <w:sz w:val="28"/>
          <w:szCs w:val="28"/>
        </w:rPr>
        <w:t xml:space="preserve">第六章 投标文件格式及附件</w:t>
      </w:r>
      <w:bookmarkEnd w:id="281"/>
      <w:r/>
      <w:bookmarkEnd w:id="282"/>
      <w:r/>
      <w:bookmarkEnd w:id="283"/>
      <w:r>
        <w:rPr>
          <w:rFonts w:hint="eastAsia" w:ascii="宋体" w:cs="宋体"/>
          <w:b/>
          <w:sz w:val="28"/>
          <w:szCs w:val="28"/>
        </w:rPr>
      </w:r>
      <w:r/>
    </w:p>
    <w:p>
      <w:pPr>
        <w:pStyle w:val="1275"/>
        <w:spacing w:line="440" w:lineRule="exact"/>
        <w:rPr>
          <w:rFonts w:hint="eastAsia" w:ascii="宋体" w:cs="宋体"/>
          <w:b/>
          <w:bCs/>
          <w:sz w:val="24"/>
        </w:rPr>
      </w:pPr>
      <w:r>
        <w:rPr>
          <w:rFonts w:hint="eastAsia" w:ascii="宋体" w:cs="宋体"/>
          <w:b/>
          <w:bCs/>
          <w:sz w:val="24"/>
        </w:rPr>
        <w:t xml:space="preserve">注：</w:t>
      </w:r>
      <w:r>
        <w:rPr>
          <w:rFonts w:hint="eastAsia" w:ascii="宋体" w:cs="宋体"/>
          <w:b/>
          <w:bCs/>
          <w:sz w:val="24"/>
        </w:rPr>
      </w:r>
      <w:r/>
    </w:p>
    <w:p>
      <w:pPr>
        <w:pStyle w:val="1275"/>
        <w:jc w:val="left"/>
        <w:spacing w:line="360" w:lineRule="auto"/>
        <w:rPr>
          <w:rFonts w:hint="eastAsia" w:ascii="宋体" w:cs="宋体"/>
          <w:szCs w:val="21"/>
        </w:rPr>
      </w:pPr>
      <w:r>
        <w:rPr>
          <w:rFonts w:hint="eastAsia" w:ascii="宋体" w:cs="宋体"/>
          <w:szCs w:val="21"/>
        </w:rPr>
        <w:t xml:space="preserve">1.本部分内容仅提供格式参考。 </w:t>
      </w:r>
      <w:r>
        <w:rPr>
          <w:rFonts w:hint="eastAsia" w:ascii="宋体" w:cs="宋体"/>
          <w:szCs w:val="21"/>
        </w:rPr>
      </w:r>
      <w:r/>
    </w:p>
    <w:p>
      <w:pPr>
        <w:pStyle w:val="1275"/>
        <w:jc w:val="left"/>
        <w:spacing w:line="360" w:lineRule="auto"/>
        <w:rPr>
          <w:rFonts w:hint="eastAsia"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cs="宋体"/>
          <w:szCs w:val="21"/>
        </w:rPr>
      </w:r>
      <w:r/>
    </w:p>
    <w:p>
      <w:pPr>
        <w:pStyle w:val="1275"/>
        <w:jc w:val="left"/>
        <w:spacing w:line="360" w:lineRule="auto"/>
        <w:rPr>
          <w:rFonts w:hint="eastAsia" w:ascii="宋体" w:cs="宋体"/>
          <w:szCs w:val="21"/>
        </w:rPr>
      </w:pPr>
      <w:r>
        <w:rPr>
          <w:rFonts w:hint="eastAsia" w:ascii="宋体" w:cs="宋体"/>
          <w:szCs w:val="21"/>
        </w:rPr>
        <w:t xml:space="preserve">3.所附表格中要求回答的全部问题和信息都必须正面回答。 </w:t>
      </w:r>
      <w:r>
        <w:rPr>
          <w:rFonts w:hint="eastAsia" w:ascii="宋体" w:cs="宋体"/>
          <w:szCs w:val="21"/>
        </w:rPr>
      </w:r>
      <w:r/>
    </w:p>
    <w:p>
      <w:pPr>
        <w:pStyle w:val="1275"/>
        <w:jc w:val="left"/>
        <w:spacing w:line="360" w:lineRule="auto"/>
        <w:rPr>
          <w:rFonts w:hint="eastAsia" w:ascii="宋体" w:cs="宋体"/>
          <w:szCs w:val="21"/>
        </w:rPr>
      </w:pPr>
      <w:r>
        <w:rPr>
          <w:rFonts w:hint="eastAsia" w:ascii="宋体" w:cs="宋体"/>
          <w:szCs w:val="21"/>
        </w:rPr>
        <w:t xml:space="preserve">4.投标人提交的材料不予退还。 </w:t>
      </w:r>
      <w:r>
        <w:rPr>
          <w:rFonts w:hint="eastAsia" w:ascii="宋体" w:cs="宋体"/>
          <w:szCs w:val="21"/>
        </w:rPr>
      </w:r>
      <w:r/>
    </w:p>
    <w:p>
      <w:pPr>
        <w:pStyle w:val="1275"/>
        <w:jc w:val="left"/>
        <w:spacing w:line="360" w:lineRule="auto"/>
        <w:rPr>
          <w:rFonts w:hint="eastAsia" w:ascii="宋体" w:cs="宋体"/>
          <w:szCs w:val="21"/>
        </w:rPr>
      </w:pPr>
      <w:r>
        <w:rPr>
          <w:rFonts w:hint="eastAsia" w:ascii="宋体" w:cs="宋体"/>
          <w:szCs w:val="21"/>
        </w:rPr>
        <w:t xml:space="preserve">5.全部文件应按投标人须知以及前附表中规定的语言和份数提交。 </w:t>
      </w:r>
      <w:r>
        <w:rPr>
          <w:rFonts w:hint="eastAsia" w:ascii="宋体" w:cs="宋体"/>
          <w:szCs w:val="21"/>
        </w:rPr>
      </w:r>
      <w:r/>
    </w:p>
    <w:p>
      <w:pPr>
        <w:pStyle w:val="1275"/>
        <w:jc w:val="left"/>
        <w:spacing w:line="360" w:lineRule="auto"/>
        <w:rPr>
          <w:rFonts w:hint="eastAsia" w:asci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1275"/>
        <w:jc w:val="left"/>
        <w:widowControl/>
      </w:pPr>
      <w:r>
        <w:rPr>
          <w:rFonts w:hint="eastAsia" w:ascii="宋体" w:hAnsi="宋体" w:cs="宋体"/>
          <w:b/>
          <w:bCs/>
          <w:color w:val="000000"/>
          <w:sz w:val="28"/>
          <w:szCs w:val="28"/>
          <w:lang w:bidi="ar"/>
        </w:rPr>
        <w:t xml:space="preserve">投标文件封面格式 </w:t>
      </w:r>
      <w:r/>
    </w:p>
    <w:p>
      <w:pPr>
        <w:pStyle w:val="1275"/>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275"/>
        <w:jc w:val="center"/>
        <w:spacing w:line="500" w:lineRule="exact"/>
        <w:rPr>
          <w:b/>
          <w:sz w:val="44"/>
          <w:szCs w:val="44"/>
          <w:highlight w:val="yellow"/>
        </w:rPr>
      </w:pPr>
      <w:r>
        <w:rPr>
          <w:b/>
          <w:sz w:val="44"/>
          <w:szCs w:val="44"/>
          <w:highlight w:val="yellow"/>
        </w:rPr>
      </w:r>
      <w:r/>
    </w:p>
    <w:p>
      <w:pPr>
        <w:pStyle w:val="1275"/>
        <w:ind w:right="32"/>
        <w:jc w:val="center"/>
        <w:spacing w:before="100" w:beforeAutospacing="1" w:after="100" w:afterAutospacing="1" w:line="360" w:lineRule="auto"/>
        <w:rPr>
          <w:rFonts w:hint="eastAsia"/>
          <w:b/>
          <w:sz w:val="48"/>
          <w:szCs w:val="48"/>
        </w:rPr>
      </w:pPr>
      <w:r>
        <w:rPr>
          <w:rFonts w:hint="eastAsia"/>
          <w:b/>
          <w:sz w:val="48"/>
          <w:szCs w:val="48"/>
        </w:rPr>
        <w:t xml:space="preserve">江苏省计量科学研究院</w:t>
      </w:r>
      <w:r>
        <w:rPr>
          <w:rFonts w:hint="eastAsia"/>
          <w:b/>
          <w:sz w:val="48"/>
          <w:szCs w:val="48"/>
        </w:rPr>
      </w:r>
      <w:r/>
    </w:p>
    <w:p>
      <w:pPr>
        <w:pStyle w:val="1275"/>
        <w:ind w:right="32"/>
        <w:jc w:val="center"/>
        <w:spacing w:before="100" w:beforeAutospacing="1" w:after="100" w:afterAutospacing="1" w:line="360" w:lineRule="auto"/>
        <w:rPr>
          <w:rFonts w:hint="eastAsia"/>
          <w:b/>
          <w:sz w:val="48"/>
          <w:szCs w:val="48"/>
        </w:rPr>
      </w:pPr>
      <w:r>
        <w:rPr>
          <w:rFonts w:hint="eastAsia"/>
          <w:b/>
          <w:sz w:val="48"/>
          <w:szCs w:val="48"/>
        </w:rPr>
        <w:t xml:space="preserve">（江苏省能源计量数据中心）</w:t>
      </w:r>
      <w:r>
        <w:rPr>
          <w:rFonts w:hint="eastAsia"/>
          <w:b/>
          <w:sz w:val="48"/>
          <w:szCs w:val="48"/>
        </w:rPr>
      </w:r>
      <w:r/>
    </w:p>
    <w:p>
      <w:pPr>
        <w:pStyle w:val="1275"/>
        <w:ind w:right="32"/>
        <w:jc w:val="center"/>
        <w:spacing w:before="100" w:beforeAutospacing="1" w:after="100" w:afterAutospacing="1" w:line="360" w:lineRule="auto"/>
        <w:rPr>
          <w:rFonts w:hint="eastAsia"/>
          <w:b/>
          <w:sz w:val="48"/>
          <w:szCs w:val="48"/>
        </w:rPr>
      </w:pPr>
      <w:r>
        <w:rPr>
          <w:rFonts w:hint="eastAsia"/>
          <w:b/>
          <w:sz w:val="48"/>
          <w:szCs w:val="48"/>
        </w:rPr>
      </w:r>
      <w:r/>
    </w:p>
    <w:p>
      <w:pPr>
        <w:pStyle w:val="1275"/>
        <w:ind w:right="32"/>
        <w:jc w:val="center"/>
        <w:spacing w:before="100" w:beforeAutospacing="1" w:after="100" w:afterAutospacing="1" w:line="360" w:lineRule="auto"/>
        <w:rPr>
          <w:rFonts w:hint="eastAsia"/>
          <w:b/>
          <w:sz w:val="48"/>
          <w:szCs w:val="48"/>
        </w:rPr>
      </w:pPr>
      <w:r>
        <w:rPr>
          <w:rFonts w:hint="eastAsia"/>
          <w:b/>
          <w:sz w:val="48"/>
          <w:szCs w:val="48"/>
        </w:rPr>
        <w:t xml:space="preserve">高频微波场强标准装置等设备采购</w:t>
      </w:r>
      <w:r>
        <w:rPr>
          <w:rFonts w:hint="eastAsia"/>
          <w:b/>
          <w:sz w:val="48"/>
          <w:szCs w:val="48"/>
        </w:rPr>
      </w:r>
      <w:r/>
    </w:p>
    <w:p>
      <w:pPr>
        <w:pStyle w:val="1275"/>
        <w:jc w:val="center"/>
        <w:spacing w:line="500" w:lineRule="exact"/>
        <w:rPr>
          <w:b/>
          <w:color w:val="000000"/>
          <w:spacing w:val="80"/>
          <w:sz w:val="72"/>
        </w:rPr>
      </w:pPr>
      <w:r>
        <w:rPr>
          <w:b/>
          <w:color w:val="000000"/>
          <w:spacing w:val="80"/>
          <w:sz w:val="72"/>
        </w:rPr>
      </w:r>
      <w:r/>
    </w:p>
    <w:p>
      <w:pPr>
        <w:pStyle w:val="1275"/>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275"/>
        <w:spacing w:line="500" w:lineRule="exact"/>
        <w:rPr>
          <w:b/>
          <w:color w:val="000000"/>
          <w:sz w:val="32"/>
        </w:rPr>
      </w:pPr>
      <w:r>
        <w:rPr>
          <w:b/>
          <w:color w:val="000000"/>
          <w:sz w:val="32"/>
        </w:rPr>
      </w:r>
      <w:r/>
    </w:p>
    <w:p>
      <w:pPr>
        <w:pStyle w:val="1275"/>
        <w:ind w:firstLine="1285"/>
        <w:spacing w:line="360" w:lineRule="auto"/>
        <w:rPr>
          <w:rFonts w:ascii="Arial" w:hAnsi="Arial" w:cs="Arial"/>
          <w:b/>
          <w:sz w:val="32"/>
          <w:szCs w:val="32"/>
        </w:rPr>
      </w:pPr>
      <w:r>
        <w:rPr>
          <w:rFonts w:ascii="Arial" w:hAnsi="Arial" w:cs="Arial"/>
          <w:b/>
          <w:sz w:val="32"/>
          <w:szCs w:val="32"/>
        </w:rPr>
      </w:r>
      <w:r/>
    </w:p>
    <w:p>
      <w:pPr>
        <w:pStyle w:val="1290"/>
        <w:jc w:val="center"/>
        <w:spacing w:line="500" w:lineRule="exact"/>
        <w:rPr>
          <w:rFonts w:ascii="Times New Roman"/>
          <w:color w:val="000000"/>
          <w:sz w:val="36"/>
        </w:rPr>
      </w:pPr>
      <w:r>
        <w:rPr>
          <w:rFonts w:ascii="Times New Roman"/>
          <w:color w:val="000000"/>
          <w:sz w:val="36"/>
        </w:rPr>
      </w:r>
      <w:r/>
    </w:p>
    <w:p>
      <w:pPr>
        <w:pStyle w:val="1275"/>
        <w:spacing w:line="500" w:lineRule="exact"/>
        <w:rPr>
          <w:color w:val="000000"/>
          <w:sz w:val="32"/>
        </w:rPr>
      </w:pPr>
      <w:r>
        <w:rPr>
          <w:color w:val="000000"/>
          <w:sz w:val="32"/>
        </w:rPr>
      </w:r>
      <w:r/>
    </w:p>
    <w:p>
      <w:pPr>
        <w:pStyle w:val="1275"/>
        <w:spacing w:line="360" w:lineRule="auto"/>
        <w:rPr>
          <w:rFonts w:ascii="Arial" w:hAnsi="Arial" w:cs="Arial"/>
          <w:b/>
          <w:sz w:val="32"/>
          <w:szCs w:val="32"/>
        </w:rPr>
      </w:pPr>
      <w:r>
        <w:rPr>
          <w:rFonts w:ascii="Arial" w:hAnsi="Arial" w:cs="Arial"/>
          <w:b/>
          <w:sz w:val="32"/>
          <w:szCs w:val="32"/>
        </w:rPr>
      </w:r>
      <w:r/>
    </w:p>
    <w:p>
      <w:pPr>
        <w:pStyle w:val="1275"/>
        <w:jc w:val="center"/>
        <w:spacing w:line="360" w:lineRule="auto"/>
        <w:rPr>
          <w:rFonts w:hint="eastAsia"/>
          <w:b/>
          <w:sz w:val="32"/>
          <w:szCs w:val="32"/>
        </w:rPr>
      </w:pPr>
      <w:r>
        <w:rPr>
          <w:rFonts w:ascii="Arial" w:hAnsi="Arial" w:cs="Arial"/>
          <w:b/>
          <w:sz w:val="32"/>
          <w:szCs w:val="32"/>
        </w:rPr>
        <w:t xml:space="preserve">项目编号：</w:t>
      </w:r>
      <w:r>
        <w:rPr>
          <w:rFonts w:hint="eastAsia"/>
          <w:b/>
          <w:sz w:val="32"/>
          <w:szCs w:val="32"/>
        </w:rPr>
        <w:t xml:space="preserve">2640SUMEC/ZWGG2026</w:t>
      </w:r>
      <w:r>
        <w:rPr>
          <w:rFonts w:hint="eastAsia"/>
          <w:b/>
          <w:sz w:val="32"/>
          <w:szCs w:val="32"/>
        </w:rPr>
      </w:r>
      <w:r/>
    </w:p>
    <w:p>
      <w:pPr>
        <w:pStyle w:val="1275"/>
        <w:jc w:val="center"/>
        <w:spacing w:line="360" w:lineRule="auto"/>
        <w:rPr>
          <w:rFonts w:hint="eastAsia" w:ascii="Arial" w:hAnsi="Arial" w:cs="Arial"/>
          <w:b/>
          <w:sz w:val="32"/>
          <w:szCs w:val="32"/>
        </w:rPr>
      </w:pPr>
      <w:r>
        <w:rPr>
          <w:rFonts w:hint="eastAsia"/>
          <w:b/>
          <w:sz w:val="32"/>
          <w:szCs w:val="32"/>
        </w:rPr>
        <w:t xml:space="preserve">（</w:t>
      </w:r>
      <w:r>
        <w:rPr>
          <w:rFonts w:hint="eastAsia"/>
          <w:b/>
          <w:sz w:val="32"/>
          <w:szCs w:val="32"/>
          <w:lang w:eastAsia="zh-CN"/>
        </w:rPr>
        <w:t xml:space="preserve">JSZC-320000-SMDY-G2026-0008</w:t>
      </w:r>
      <w:r>
        <w:rPr>
          <w:rFonts w:hint="eastAsia"/>
          <w:b/>
          <w:sz w:val="32"/>
          <w:szCs w:val="32"/>
        </w:rPr>
        <w:t xml:space="preserve">）</w:t>
      </w:r>
      <w:r>
        <w:rPr>
          <w:rFonts w:hint="eastAsia" w:ascii="Arial" w:hAnsi="Arial" w:cs="Arial"/>
          <w:b/>
          <w:sz w:val="32"/>
          <w:szCs w:val="32"/>
        </w:rPr>
      </w:r>
      <w:r/>
    </w:p>
    <w:p>
      <w:pPr>
        <w:pStyle w:val="1275"/>
        <w:ind w:firstLine="1606"/>
        <w:spacing w:line="360" w:lineRule="auto"/>
        <w:rPr>
          <w:rFonts w:ascii="Arial" w:hAnsi="Arial" w:cs="Arial"/>
          <w:b/>
          <w:sz w:val="32"/>
          <w:szCs w:val="32"/>
        </w:rPr>
      </w:pPr>
      <w:r>
        <w:rPr>
          <w:rFonts w:ascii="Arial" w:hAnsi="Arial" w:cs="Arial"/>
          <w:b/>
          <w:sz w:val="32"/>
          <w:szCs w:val="32"/>
        </w:rPr>
      </w:r>
      <w:r/>
    </w:p>
    <w:p>
      <w:pPr>
        <w:pStyle w:val="1275"/>
        <w:ind w:firstLine="1606"/>
        <w:spacing w:line="360" w:lineRule="auto"/>
        <w:rPr>
          <w:b/>
          <w:bCs/>
          <w:sz w:val="36"/>
          <w:szCs w:val="36"/>
        </w:rPr>
      </w:pPr>
      <w:r>
        <w:rPr>
          <w:rFonts w:ascii="Arial" w:hAnsi="Arial" w:cs="Arial"/>
          <w:b/>
          <w:sz w:val="32"/>
          <w:szCs w:val="32"/>
        </w:rPr>
        <w:t xml:space="preserve">投标单位名称：</w:t>
      </w:r>
      <w:r>
        <w:rPr>
          <w:b/>
          <w:bCs/>
          <w:sz w:val="36"/>
          <w:szCs w:val="36"/>
          <w:u w:val="single"/>
        </w:rPr>
        <w:t xml:space="preserve">                   </w:t>
      </w:r>
      <w:r>
        <w:rPr>
          <w:b/>
          <w:bCs/>
          <w:sz w:val="36"/>
          <w:szCs w:val="36"/>
        </w:rPr>
      </w:r>
      <w:r/>
    </w:p>
    <w:p>
      <w:pPr>
        <w:pStyle w:val="1275"/>
        <w:jc w:val="center"/>
        <w:spacing w:line="500" w:lineRule="exact"/>
        <w:rPr>
          <w:b/>
          <w:bCs/>
          <w:sz w:val="36"/>
          <w:szCs w:val="36"/>
        </w:rPr>
      </w:pPr>
      <w:r>
        <w:rPr>
          <w:rFonts w:hint="eastAsia"/>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13"/>
        <w:ind w:firstLine="280"/>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1275"/>
        <w:jc w:val="center"/>
        <w:keepLines/>
        <w:keepNext/>
        <w:spacing w:before="120" w:after="120" w:line="360" w:lineRule="auto"/>
        <w:rPr>
          <w:rFonts w:hint="eastAsia" w:ascii="Arial" w:hAnsi="Arial"/>
          <w:b/>
          <w:bCs/>
          <w:sz w:val="28"/>
          <w:szCs w:val="28"/>
        </w:rPr>
        <w:outlineLvl w:val="1"/>
      </w:pPr>
      <w:r/>
      <w:bookmarkStart w:id="284" w:name="_Toc29844"/>
      <w:r/>
      <w:bookmarkStart w:id="285" w:name="_Toc6237"/>
      <w:r/>
      <w:bookmarkStart w:id="286" w:name="_Toc15346"/>
      <w:r/>
      <w:bookmarkStart w:id="287" w:name="_Toc28190"/>
      <w:r>
        <w:rPr>
          <w:rFonts w:ascii="Arial" w:hAnsi="Arial"/>
          <w:b/>
          <w:bCs/>
          <w:sz w:val="28"/>
          <w:szCs w:val="28"/>
        </w:rPr>
        <w:t xml:space="preserve">资格审查索引表</w:t>
      </w:r>
      <w:bookmarkEnd w:id="284"/>
      <w:r/>
      <w:bookmarkEnd w:id="285"/>
      <w:r>
        <w:rPr>
          <w:rFonts w:hint="eastAsia" w:ascii="Arial" w:hAnsi="Arial"/>
          <w:b/>
          <w:bCs/>
          <w:sz w:val="28"/>
          <w:szCs w:val="28"/>
        </w:rPr>
      </w:r>
      <w:r/>
    </w:p>
    <w:p>
      <w:pPr>
        <w:pStyle w:val="1275"/>
        <w:jc w:val="center"/>
        <w:keepLines/>
        <w:keepNext/>
        <w:spacing w:before="120" w:after="120" w:line="360" w:lineRule="auto"/>
        <w:rPr>
          <w:rFonts w:ascii="Arial" w:hAnsi="Arial"/>
          <w:b/>
          <w:bCs/>
          <w:sz w:val="28"/>
          <w:szCs w:val="28"/>
        </w:rPr>
        <w:outlineLvl w:val="1"/>
      </w:pPr>
      <w:r/>
      <w:bookmarkStart w:id="288" w:name="_Toc23689"/>
      <w:r/>
      <w:bookmarkStart w:id="289" w:name="_Toc6221"/>
      <w:r>
        <w:rPr>
          <w:rFonts w:hint="eastAsia" w:ascii="Arial" w:hAnsi="Arial"/>
          <w:b/>
          <w:bCs/>
          <w:sz w:val="24"/>
          <w:szCs w:val="24"/>
        </w:rPr>
        <w:t xml:space="preserve">（具体详见招标文件第一章申请人的资格要求）</w:t>
      </w:r>
      <w:bookmarkEnd w:id="288"/>
      <w:r/>
      <w:bookmarkEnd w:id="289"/>
      <w:r>
        <w:rPr>
          <w:rFonts w:ascii="Arial" w:hAnsi="Arial"/>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275"/>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275"/>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275"/>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275"/>
              <w:spacing w:line="360" w:lineRule="auto"/>
              <w:widowControl/>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75"/>
              <w:spacing w:line="360" w:lineRule="auto"/>
              <w:rPr>
                <w:sz w:val="24"/>
                <w:szCs w:val="24"/>
              </w:rPr>
            </w:pPr>
            <w:r>
              <w:rPr>
                <w:sz w:val="24"/>
                <w:szCs w:val="24"/>
              </w:rPr>
            </w:r>
            <w:r/>
          </w:p>
        </w:tc>
        <w:tc>
          <w:tcPr>
            <w:tcW w:w="5332" w:type="dxa"/>
            <w:vAlign w:val="center"/>
            <w:textDirection w:val="lrTb"/>
            <w:noWrap w:val="false"/>
          </w:tcPr>
          <w:p>
            <w:pPr>
              <w:pStyle w:val="1275"/>
              <w:spacing w:line="360" w:lineRule="auto"/>
              <w:rPr>
                <w:sz w:val="24"/>
                <w:szCs w:val="24"/>
              </w:rPr>
            </w:pPr>
            <w:r>
              <w:rPr>
                <w:sz w:val="24"/>
                <w:szCs w:val="24"/>
              </w:rPr>
            </w:r>
            <w:r/>
          </w:p>
        </w:tc>
        <w:tc>
          <w:tcPr>
            <w:tcW w:w="1949" w:type="dxa"/>
            <w:vAlign w:val="top"/>
            <w:textDirection w:val="lrTb"/>
            <w:noWrap w:val="false"/>
          </w:tcPr>
          <w:p>
            <w:pPr>
              <w:pStyle w:val="1275"/>
              <w:spacing w:line="360" w:lineRule="auto"/>
              <w:rPr>
                <w:sz w:val="24"/>
                <w:szCs w:val="24"/>
              </w:rPr>
            </w:pPr>
            <w:r>
              <w:rPr>
                <w:sz w:val="24"/>
                <w:szCs w:val="24"/>
              </w:rPr>
            </w:r>
            <w:r/>
          </w:p>
        </w:tc>
      </w:tr>
    </w:tbl>
    <w:p>
      <w:pPr>
        <w:pStyle w:val="127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275"/>
        <w:jc w:val="center"/>
        <w:keepLines/>
        <w:keepNext/>
        <w:spacing w:before="120" w:after="120" w:line="416" w:lineRule="auto"/>
        <w:rPr>
          <w:rFonts w:hint="eastAsia" w:ascii="Arial" w:hAnsi="Arial"/>
          <w:b/>
          <w:bCs/>
          <w:sz w:val="28"/>
          <w:szCs w:val="28"/>
        </w:rPr>
        <w:outlineLvl w:val="1"/>
      </w:pPr>
      <w:r/>
      <w:bookmarkStart w:id="290" w:name="_Toc12508"/>
      <w:r/>
      <w:bookmarkStart w:id="291" w:name="_Toc9415"/>
      <w:r>
        <w:rPr>
          <w:rFonts w:ascii="Arial" w:hAnsi="Arial"/>
          <w:b/>
          <w:bCs/>
          <w:sz w:val="28"/>
          <w:szCs w:val="28"/>
        </w:rPr>
        <w:t xml:space="preserve">评审索引表</w:t>
      </w:r>
      <w:bookmarkEnd w:id="290"/>
      <w:r/>
      <w:bookmarkEnd w:id="291"/>
      <w:r>
        <w:rPr>
          <w:rFonts w:hint="eastAsia" w:ascii="Arial" w:hAnsi="Arial"/>
          <w:b/>
          <w:bCs/>
          <w:sz w:val="28"/>
          <w:szCs w:val="28"/>
        </w:rPr>
      </w:r>
      <w:r/>
    </w:p>
    <w:p>
      <w:pPr>
        <w:pStyle w:val="1275"/>
        <w:jc w:val="center"/>
        <w:keepLines/>
        <w:keepNext/>
        <w:spacing w:before="120" w:after="120" w:line="416" w:lineRule="auto"/>
        <w:rPr>
          <w:rFonts w:ascii="Arial" w:hAnsi="Arial"/>
          <w:b/>
          <w:bCs/>
          <w:sz w:val="28"/>
          <w:szCs w:val="28"/>
        </w:rPr>
        <w:outlineLvl w:val="1"/>
      </w:pPr>
      <w:r/>
      <w:bookmarkStart w:id="292" w:name="_Toc8317"/>
      <w:r/>
      <w:bookmarkStart w:id="293" w:name="_Toc14695"/>
      <w:r>
        <w:rPr>
          <w:rFonts w:hint="eastAsia" w:ascii="Arial" w:hAnsi="Arial"/>
          <w:b/>
          <w:bCs/>
          <w:sz w:val="24"/>
          <w:szCs w:val="24"/>
        </w:rPr>
        <w:t xml:space="preserve">（具体详见招标文件第三章评标标准）</w:t>
      </w:r>
      <w:bookmarkEnd w:id="292"/>
      <w:r/>
      <w:bookmarkEnd w:id="293"/>
      <w:r>
        <w:rPr>
          <w:rFonts w:ascii="Arial" w:hAnsi="Arial"/>
          <w:b/>
          <w:bCs/>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275"/>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275"/>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275"/>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75"/>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widowControl/>
              <w:rPr>
                <w:b/>
                <w:szCs w:val="21"/>
              </w:rPr>
            </w:pPr>
            <w:r>
              <w:rPr>
                <w:b/>
                <w:szCs w:val="21"/>
              </w:rPr>
            </w:r>
            <w:r/>
          </w:p>
        </w:tc>
        <w:tc>
          <w:tcPr>
            <w:tcW w:w="4868" w:type="dxa"/>
            <w:vAlign w:val="center"/>
            <w:textDirection w:val="lrTb"/>
            <w:noWrap w:val="false"/>
          </w:tcPr>
          <w:p>
            <w:pPr>
              <w:pStyle w:val="1275"/>
              <w:spacing w:line="360" w:lineRule="auto"/>
              <w:rPr>
                <w:szCs w:val="21"/>
              </w:rPr>
            </w:pPr>
            <w:r>
              <w:rPr>
                <w:szCs w:val="21"/>
              </w:rPr>
            </w:r>
            <w:r/>
          </w:p>
        </w:tc>
        <w:tc>
          <w:tcPr>
            <w:tcW w:w="1884" w:type="dxa"/>
            <w:vAlign w:val="center"/>
            <w:textDirection w:val="lrTb"/>
            <w:noWrap w:val="false"/>
          </w:tcPr>
          <w:p>
            <w:pPr>
              <w:pStyle w:val="1275"/>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275"/>
              <w:ind w:right="211"/>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rPr>
                <w:b/>
                <w:szCs w:val="21"/>
              </w:rPr>
            </w:pPr>
            <w:r>
              <w:rPr>
                <w:b/>
                <w:szCs w:val="21"/>
              </w:rPr>
            </w:r>
            <w:r/>
          </w:p>
        </w:tc>
        <w:tc>
          <w:tcPr>
            <w:tcW w:w="4868" w:type="dxa"/>
            <w:vAlign w:val="center"/>
            <w:textDirection w:val="lrTb"/>
            <w:noWrap w:val="false"/>
          </w:tcPr>
          <w:p>
            <w:pPr>
              <w:pStyle w:val="1275"/>
              <w:spacing w:line="360" w:lineRule="auto"/>
              <w:rPr>
                <w:sz w:val="28"/>
                <w:szCs w:val="21"/>
              </w:rPr>
            </w:pPr>
            <w:r>
              <w:rPr>
                <w:sz w:val="28"/>
                <w:szCs w:val="21"/>
              </w:rPr>
            </w:r>
            <w:r/>
          </w:p>
        </w:tc>
        <w:tc>
          <w:tcPr>
            <w:tcW w:w="1884" w:type="dxa"/>
            <w:vAlign w:val="center"/>
            <w:textDirection w:val="lrTb"/>
            <w:noWrap w:val="false"/>
          </w:tcPr>
          <w:p>
            <w:pPr>
              <w:pStyle w:val="1275"/>
              <w:jc w:val="center"/>
              <w:spacing w:line="360" w:lineRule="auto"/>
              <w:rPr>
                <w:szCs w:val="21"/>
              </w:rPr>
            </w:pPr>
            <w:r>
              <w:rPr>
                <w:szCs w:val="21"/>
              </w:rPr>
            </w:r>
            <w:r/>
          </w:p>
        </w:tc>
      </w:tr>
      <w:tr>
        <w:trPr>
          <w:trHeight w:val="580"/>
        </w:trPr>
        <w:tc>
          <w:tcPr>
            <w:tcW w:w="1234" w:type="dxa"/>
            <w:vAlign w:val="center"/>
            <w:textDirection w:val="lrTb"/>
            <w:noWrap w:val="false"/>
          </w:tcPr>
          <w:p>
            <w:pPr>
              <w:pStyle w:val="1275"/>
              <w:ind w:right="211"/>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rPr>
                <w:b/>
                <w:szCs w:val="21"/>
              </w:rPr>
            </w:pPr>
            <w:r>
              <w:rPr>
                <w:b/>
                <w:szCs w:val="21"/>
              </w:rPr>
            </w:r>
            <w:r/>
          </w:p>
        </w:tc>
        <w:tc>
          <w:tcPr>
            <w:tcW w:w="4868" w:type="dxa"/>
            <w:vAlign w:val="center"/>
            <w:textDirection w:val="lrTb"/>
            <w:noWrap w:val="false"/>
          </w:tcPr>
          <w:p>
            <w:pPr>
              <w:pStyle w:val="1275"/>
              <w:spacing w:line="360" w:lineRule="auto"/>
              <w:rPr>
                <w:sz w:val="28"/>
                <w:szCs w:val="21"/>
              </w:rPr>
            </w:pPr>
            <w:r>
              <w:rPr>
                <w:sz w:val="28"/>
                <w:szCs w:val="21"/>
              </w:rPr>
            </w:r>
            <w:r/>
          </w:p>
        </w:tc>
        <w:tc>
          <w:tcPr>
            <w:tcW w:w="1884" w:type="dxa"/>
            <w:vAlign w:val="center"/>
            <w:textDirection w:val="lrTb"/>
            <w:noWrap w:val="false"/>
          </w:tcPr>
          <w:p>
            <w:pPr>
              <w:pStyle w:val="1275"/>
              <w:jc w:val="center"/>
              <w:spacing w:line="360" w:lineRule="auto"/>
              <w:rPr>
                <w:szCs w:val="21"/>
              </w:rPr>
            </w:pPr>
            <w:r>
              <w:rPr>
                <w:szCs w:val="21"/>
              </w:rPr>
            </w:r>
            <w:r/>
          </w:p>
        </w:tc>
      </w:tr>
      <w:tr>
        <w:trPr>
          <w:trHeight w:val="580"/>
        </w:trPr>
        <w:tc>
          <w:tcPr>
            <w:tcW w:w="1234" w:type="dxa"/>
            <w:vAlign w:val="center"/>
            <w:textDirection w:val="lrTb"/>
            <w:noWrap w:val="false"/>
          </w:tcPr>
          <w:p>
            <w:pPr>
              <w:pStyle w:val="1275"/>
              <w:ind w:right="211"/>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rPr>
                <w:b/>
                <w:szCs w:val="21"/>
              </w:rPr>
            </w:pPr>
            <w:r>
              <w:rPr>
                <w:b/>
                <w:szCs w:val="21"/>
              </w:rPr>
            </w:r>
            <w:r/>
          </w:p>
        </w:tc>
        <w:tc>
          <w:tcPr>
            <w:tcW w:w="4868" w:type="dxa"/>
            <w:vAlign w:val="center"/>
            <w:textDirection w:val="lrTb"/>
            <w:noWrap w:val="false"/>
          </w:tcPr>
          <w:p>
            <w:pPr>
              <w:pStyle w:val="1275"/>
              <w:spacing w:line="360" w:lineRule="auto"/>
              <w:rPr>
                <w:sz w:val="28"/>
                <w:szCs w:val="21"/>
              </w:rPr>
            </w:pPr>
            <w:r>
              <w:rPr>
                <w:sz w:val="28"/>
                <w:szCs w:val="21"/>
              </w:rPr>
            </w:r>
            <w:r/>
          </w:p>
        </w:tc>
        <w:tc>
          <w:tcPr>
            <w:tcW w:w="1884" w:type="dxa"/>
            <w:vAlign w:val="center"/>
            <w:textDirection w:val="lrTb"/>
            <w:noWrap w:val="false"/>
          </w:tcPr>
          <w:p>
            <w:pPr>
              <w:pStyle w:val="1275"/>
              <w:jc w:val="center"/>
              <w:spacing w:line="360" w:lineRule="auto"/>
              <w:rPr>
                <w:szCs w:val="21"/>
              </w:rPr>
            </w:pPr>
            <w:r>
              <w:rPr>
                <w:szCs w:val="21"/>
              </w:rPr>
            </w:r>
            <w:r/>
          </w:p>
        </w:tc>
      </w:tr>
      <w:tr>
        <w:trPr>
          <w:trHeight w:val="580"/>
        </w:trPr>
        <w:tc>
          <w:tcPr>
            <w:tcW w:w="1234" w:type="dxa"/>
            <w:vAlign w:val="center"/>
            <w:textDirection w:val="lrTb"/>
            <w:noWrap w:val="false"/>
          </w:tcPr>
          <w:p>
            <w:pPr>
              <w:pStyle w:val="1275"/>
              <w:ind w:right="211"/>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rPr>
                <w:b/>
                <w:szCs w:val="21"/>
              </w:rPr>
            </w:pPr>
            <w:r>
              <w:rPr>
                <w:b/>
                <w:szCs w:val="21"/>
              </w:rPr>
            </w:r>
            <w:r/>
          </w:p>
        </w:tc>
        <w:tc>
          <w:tcPr>
            <w:tcW w:w="4868" w:type="dxa"/>
            <w:vAlign w:val="center"/>
            <w:textDirection w:val="lrTb"/>
            <w:noWrap w:val="false"/>
          </w:tcPr>
          <w:p>
            <w:pPr>
              <w:pStyle w:val="1275"/>
              <w:spacing w:line="360" w:lineRule="auto"/>
              <w:rPr>
                <w:sz w:val="28"/>
                <w:szCs w:val="21"/>
              </w:rPr>
            </w:pPr>
            <w:r>
              <w:rPr>
                <w:sz w:val="28"/>
                <w:szCs w:val="21"/>
              </w:rPr>
            </w:r>
            <w:r/>
          </w:p>
        </w:tc>
        <w:tc>
          <w:tcPr>
            <w:tcW w:w="1884" w:type="dxa"/>
            <w:vAlign w:val="center"/>
            <w:textDirection w:val="lrTb"/>
            <w:noWrap w:val="false"/>
          </w:tcPr>
          <w:p>
            <w:pPr>
              <w:pStyle w:val="1275"/>
              <w:jc w:val="center"/>
              <w:spacing w:line="360" w:lineRule="auto"/>
              <w:rPr>
                <w:szCs w:val="21"/>
              </w:rPr>
            </w:pPr>
            <w:r>
              <w:rPr>
                <w:szCs w:val="21"/>
              </w:rPr>
            </w:r>
            <w:r/>
          </w:p>
        </w:tc>
      </w:tr>
      <w:tr>
        <w:trPr>
          <w:trHeight w:val="580"/>
        </w:trPr>
        <w:tc>
          <w:tcPr>
            <w:tcW w:w="1234" w:type="dxa"/>
            <w:vAlign w:val="center"/>
            <w:textDirection w:val="lrTb"/>
            <w:noWrap w:val="false"/>
          </w:tcPr>
          <w:p>
            <w:pPr>
              <w:pStyle w:val="1275"/>
              <w:ind w:right="211"/>
              <w:jc w:val="center"/>
              <w:spacing w:line="360" w:lineRule="auto"/>
              <w:widowControl/>
              <w:rPr>
                <w:b/>
                <w:szCs w:val="21"/>
              </w:rPr>
            </w:pPr>
            <w:r>
              <w:rPr>
                <w:b/>
                <w:szCs w:val="21"/>
              </w:rPr>
            </w:r>
            <w:r/>
          </w:p>
        </w:tc>
        <w:tc>
          <w:tcPr>
            <w:tcW w:w="2355" w:type="dxa"/>
            <w:vAlign w:val="center"/>
            <w:textDirection w:val="lrTb"/>
            <w:noWrap w:val="false"/>
          </w:tcPr>
          <w:p>
            <w:pPr>
              <w:pStyle w:val="1275"/>
              <w:jc w:val="center"/>
              <w:spacing w:line="360" w:lineRule="auto"/>
              <w:rPr>
                <w:b/>
                <w:szCs w:val="21"/>
              </w:rPr>
            </w:pPr>
            <w:r>
              <w:rPr>
                <w:b/>
                <w:szCs w:val="21"/>
              </w:rPr>
            </w:r>
            <w:r/>
          </w:p>
        </w:tc>
        <w:tc>
          <w:tcPr>
            <w:tcW w:w="4868" w:type="dxa"/>
            <w:vAlign w:val="center"/>
            <w:textDirection w:val="lrTb"/>
            <w:noWrap w:val="false"/>
          </w:tcPr>
          <w:p>
            <w:pPr>
              <w:pStyle w:val="1275"/>
              <w:spacing w:line="360" w:lineRule="auto"/>
              <w:rPr>
                <w:sz w:val="28"/>
                <w:szCs w:val="21"/>
              </w:rPr>
            </w:pPr>
            <w:r>
              <w:rPr>
                <w:sz w:val="28"/>
                <w:szCs w:val="21"/>
              </w:rPr>
            </w:r>
            <w:r/>
          </w:p>
        </w:tc>
        <w:tc>
          <w:tcPr>
            <w:tcW w:w="1884" w:type="dxa"/>
            <w:vAlign w:val="center"/>
            <w:textDirection w:val="lrTb"/>
            <w:noWrap w:val="false"/>
          </w:tcPr>
          <w:p>
            <w:pPr>
              <w:pStyle w:val="1275"/>
              <w:jc w:val="center"/>
              <w:spacing w:line="360" w:lineRule="auto"/>
              <w:rPr>
                <w:szCs w:val="21"/>
              </w:rPr>
            </w:pPr>
            <w:r>
              <w:rPr>
                <w:szCs w:val="21"/>
              </w:rPr>
            </w:r>
            <w:r/>
          </w:p>
        </w:tc>
      </w:tr>
    </w:tbl>
    <w:p>
      <w:pPr>
        <w:pStyle w:val="1275"/>
        <w:spacing w:line="440" w:lineRule="exact"/>
        <w:rPr>
          <w:rFonts w:hint="eastAsia" w:ascii="宋体" w:cs="宋体"/>
          <w:b/>
          <w:bCs/>
          <w:sz w:val="24"/>
        </w:rPr>
        <w:outlineLvl w:val="1"/>
      </w:pPr>
      <w:r>
        <w:rPr>
          <w:rFonts w:hint="eastAsia" w:ascii="宋体" w:cs="宋体"/>
          <w:b/>
          <w:bCs/>
          <w:sz w:val="24"/>
        </w:rPr>
        <w:br w:type="page" w:clear="all"/>
      </w:r>
      <w:bookmarkStart w:id="294" w:name="_Toc28809"/>
      <w:r>
        <w:rPr>
          <w:rFonts w:hint="eastAsia" w:ascii="宋体" w:cs="宋体"/>
          <w:b/>
          <w:bCs/>
          <w:sz w:val="24"/>
        </w:rPr>
        <w:t xml:space="preserve">附件一 投标函格式</w:t>
      </w:r>
      <w:bookmarkEnd w:id="286"/>
      <w:r/>
      <w:bookmarkEnd w:id="287"/>
      <w:r/>
      <w:bookmarkEnd w:id="294"/>
      <w:r>
        <w:rPr>
          <w:rFonts w:hint="eastAsia" w:ascii="宋体" w:cs="宋体"/>
          <w:b/>
          <w:bCs/>
          <w:sz w:val="24"/>
        </w:rPr>
      </w:r>
      <w:r/>
    </w:p>
    <w:p>
      <w:pPr>
        <w:pStyle w:val="1275"/>
        <w:jc w:val="center"/>
        <w:spacing w:line="440" w:lineRule="exact"/>
        <w:rPr>
          <w:rFonts w:hint="eastAsia" w:ascii="宋体" w:cs="宋体"/>
          <w:b/>
          <w:sz w:val="28"/>
          <w:szCs w:val="22"/>
        </w:rPr>
      </w:pPr>
      <w:r>
        <w:rPr>
          <w:rFonts w:hint="eastAsia" w:ascii="宋体" w:cs="宋体"/>
          <w:b/>
          <w:sz w:val="28"/>
          <w:szCs w:val="22"/>
        </w:rPr>
        <w:t xml:space="preserve">投标函</w:t>
      </w:r>
      <w:r>
        <w:rPr>
          <w:rFonts w:hint="eastAsia" w:ascii="宋体" w:cs="宋体"/>
          <w:b/>
          <w:sz w:val="28"/>
          <w:szCs w:val="22"/>
        </w:rPr>
      </w:r>
      <w:r/>
    </w:p>
    <w:p>
      <w:pPr>
        <w:pStyle w:val="1275"/>
        <w:spacing w:line="360" w:lineRule="auto"/>
        <w:rPr>
          <w:rFonts w:hint="eastAsia" w:ascii="宋体" w:cs="宋体"/>
          <w:szCs w:val="21"/>
        </w:rPr>
      </w:pPr>
      <w:r>
        <w:rPr>
          <w:rFonts w:hint="eastAsia" w:ascii="宋体" w:cs="宋体"/>
          <w:szCs w:val="21"/>
        </w:rPr>
        <w:t xml:space="preserve">致：江苏苏美达仪器设备有限公司</w:t>
      </w:r>
      <w:r>
        <w:rPr>
          <w:rFonts w:hint="eastAsia" w:ascii="宋体" w:cs="宋体"/>
          <w:szCs w:val="21"/>
        </w:rPr>
      </w:r>
      <w:r/>
    </w:p>
    <w:p>
      <w:pPr>
        <w:pStyle w:val="1275"/>
        <w:ind w:firstLine="420"/>
        <w:spacing w:line="360" w:lineRule="auto"/>
        <w:rPr>
          <w:rFonts w:hint="eastAsia" w:ascii="宋体" w:cs="宋体"/>
          <w:szCs w:val="21"/>
          <w:lang w:val="zh-CN"/>
        </w:rPr>
      </w:pPr>
      <w:r>
        <w:rPr>
          <w:rFonts w:hint="eastAsia" w:ascii="宋体" w:cs="宋体"/>
          <w:szCs w:val="21"/>
          <w:lang w:val="zh-CN"/>
        </w:rPr>
        <w:t xml:space="preserve">根据贵方</w:t>
      </w:r>
      <w:r>
        <w:rPr>
          <w:rFonts w:hint="eastAsia" w:ascii="宋体" w:cs="宋体"/>
          <w:szCs w:val="21"/>
          <w:u w:val="single"/>
          <w:lang w:val="zh-CN"/>
        </w:rPr>
        <w:t xml:space="preserve">         </w:t>
      </w:r>
      <w:r>
        <w:rPr>
          <w:rFonts w:hint="eastAsia" w:ascii="宋体" w:cs="宋体"/>
          <w:szCs w:val="21"/>
          <w:lang w:val="zh-CN"/>
        </w:rPr>
        <w:t xml:space="preserve">（项目名称） </w:t>
      </w:r>
      <w:r>
        <w:rPr>
          <w:rFonts w:hint="eastAsia" w:ascii="宋体" w:cs="宋体"/>
          <w:b/>
          <w:szCs w:val="21"/>
          <w:u w:val="single"/>
        </w:rPr>
        <w:t xml:space="preserve">        </w:t>
      </w:r>
      <w:r>
        <w:rPr>
          <w:rFonts w:hint="eastAsia" w:ascii="宋体" w:cs="宋体"/>
          <w:szCs w:val="21"/>
          <w:lang w:val="zh-CN"/>
        </w:rPr>
        <w:t xml:space="preserve">（项目编号）投标邀请，正式授权下述签字人</w:t>
      </w:r>
      <w:r>
        <w:rPr>
          <w:rFonts w:hint="eastAsia" w:ascii="宋体" w:cs="宋体"/>
          <w:szCs w:val="21"/>
          <w:u w:val="single"/>
          <w:lang w:val="zh-CN"/>
        </w:rPr>
        <w:t xml:space="preserve">       </w:t>
      </w:r>
      <w:r>
        <w:rPr>
          <w:rFonts w:hint="eastAsia" w:ascii="宋体" w:cs="宋体"/>
          <w:szCs w:val="21"/>
          <w:lang w:val="zh-CN"/>
        </w:rPr>
        <w:t xml:space="preserve">(姓名和职务)代表</w:t>
      </w:r>
      <w:r>
        <w:rPr>
          <w:rFonts w:hint="eastAsia" w:ascii="宋体" w:cs="宋体"/>
          <w:szCs w:val="21"/>
          <w:u w:val="single"/>
          <w:lang w:val="zh-CN"/>
        </w:rPr>
        <w:t xml:space="preserve">        </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（投标人名称），提交投标文件。</w:t>
      </w:r>
      <w:r>
        <w:rPr>
          <w:rFonts w:hint="eastAsia" w:ascii="宋体" w:cs="宋体"/>
          <w:szCs w:val="21"/>
          <w:lang w:val="zh-CN"/>
        </w:rPr>
      </w:r>
      <w:r/>
    </w:p>
    <w:p>
      <w:pPr>
        <w:pStyle w:val="1275"/>
        <w:ind w:firstLine="420"/>
        <w:spacing w:line="360" w:lineRule="auto"/>
        <w:rPr>
          <w:rFonts w:hint="eastAsia" w:ascii="宋体" w:cs="宋体"/>
          <w:szCs w:val="21"/>
        </w:rPr>
      </w:pPr>
      <w:r>
        <w:rPr>
          <w:rFonts w:hint="eastAsia" w:ascii="宋体" w:cs="宋体"/>
          <w:szCs w:val="21"/>
        </w:rPr>
        <w:t xml:space="preserve">据此函，签字人兹宣布同意如下：</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2．我们已详细审核全部招标文件及其有效补充文件，我们放弃对招标文件任何误解的权利，提交投标文件后，</w:t>
      </w:r>
      <w:r>
        <w:rPr>
          <w:rFonts w:hint="eastAsia" w:ascii="宋体" w:cs="宋体"/>
          <w:b/>
          <w:bCs/>
          <w:szCs w:val="21"/>
        </w:rPr>
        <w:t xml:space="preserve">不对招标文件本身提出质疑</w:t>
      </w:r>
      <w:r>
        <w:rPr>
          <w:rFonts w:hint="eastAsia" w:ascii="宋体" w:cs="宋体"/>
          <w:szCs w:val="21"/>
        </w:rPr>
        <w:t xml:space="preserve">。否则，属于不诚信和故意扰乱政府采购活动行为，我们将无条件接受处罚。</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3．我们同意在本项目招标文件中规定的开标之日起90天内遵守本投标文件中的承诺且在此期限期满之前均具有约束力。</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4．我们愿意向采购代理机构提供任何与本次招标有关的其他资料，并保证已提供和将要提供的文件是真实的、准确的。</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5．我们理解，你们无义务必须接受投标价最低的投标，并有权拒绝所有的投标。</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7．其它说明：</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投标人名称：</w:t>
      </w:r>
      <w:r>
        <w:rPr>
          <w:rFonts w:hint="eastAsia" w:ascii="宋体" w:cs="宋体"/>
          <w:szCs w:val="21"/>
          <w:u w:val="single"/>
        </w:rPr>
        <w:t xml:space="preserve">                   （公章）</w:t>
      </w:r>
      <w:r>
        <w:rPr>
          <w:rFonts w:hint="eastAsia" w:ascii="宋体" w:cs="宋体"/>
          <w:szCs w:val="21"/>
        </w:rPr>
      </w:r>
      <w:r/>
    </w:p>
    <w:p>
      <w:pPr>
        <w:pStyle w:val="1275"/>
        <w:spacing w:line="360" w:lineRule="auto"/>
        <w:rPr>
          <w:rFonts w:hint="eastAsia" w:ascii="宋体" w:cs="宋体"/>
          <w:szCs w:val="21"/>
          <w:u w:val="single"/>
        </w:rPr>
      </w:pPr>
      <w:r>
        <w:rPr>
          <w:rFonts w:hint="eastAsia" w:ascii="宋体" w:cs="宋体"/>
          <w:szCs w:val="21"/>
        </w:rPr>
        <w:t xml:space="preserve">地址：</w:t>
      </w:r>
      <w:r>
        <w:rPr>
          <w:rFonts w:hint="eastAsia" w:ascii="宋体" w:cs="宋体"/>
          <w:szCs w:val="21"/>
          <w:u w:val="single"/>
        </w:rPr>
        <w:t xml:space="preserve">            </w:t>
      </w:r>
      <w:r>
        <w:rPr>
          <w:rFonts w:hint="eastAsia" w:ascii="宋体" w:cs="宋体"/>
          <w:szCs w:val="21"/>
        </w:rPr>
        <w:t xml:space="preserve"> 邮编：</w:t>
      </w:r>
      <w:r>
        <w:rPr>
          <w:rFonts w:hint="eastAsia" w:ascii="宋体" w:cs="宋体"/>
          <w:szCs w:val="21"/>
          <w:u w:val="single"/>
        </w:rPr>
        <w:t xml:space="preserve">              </w:t>
      </w:r>
      <w:r>
        <w:rPr>
          <w:rFonts w:hint="eastAsia" w:ascii="宋体" w:cs="宋体"/>
          <w:szCs w:val="21"/>
          <w:u w:val="single"/>
        </w:rPr>
      </w:r>
      <w:r/>
    </w:p>
    <w:p>
      <w:pPr>
        <w:pStyle w:val="1275"/>
        <w:spacing w:line="360" w:lineRule="auto"/>
        <w:rPr>
          <w:rFonts w:hint="eastAsia" w:ascii="宋体" w:cs="宋体"/>
          <w:szCs w:val="21"/>
          <w:u w:val="single"/>
        </w:rPr>
      </w:pPr>
      <w:r>
        <w:rPr>
          <w:rFonts w:hint="eastAsia" w:ascii="宋体" w:cs="宋体"/>
          <w:szCs w:val="21"/>
        </w:rPr>
        <w:t xml:space="preserve">电话：</w:t>
      </w:r>
      <w:r>
        <w:rPr>
          <w:rFonts w:hint="eastAsia" w:ascii="宋体" w:cs="宋体"/>
          <w:szCs w:val="21"/>
          <w:u w:val="single"/>
        </w:rPr>
        <w:t xml:space="preserve">            </w:t>
      </w:r>
      <w:r>
        <w:rPr>
          <w:rFonts w:hint="eastAsia" w:ascii="宋体" w:cs="宋体"/>
          <w:szCs w:val="21"/>
        </w:rPr>
        <w:t xml:space="preserve"> 传真：</w:t>
      </w:r>
      <w:r>
        <w:rPr>
          <w:rFonts w:hint="eastAsia" w:ascii="宋体" w:cs="宋体"/>
          <w:szCs w:val="21"/>
          <w:u w:val="single"/>
        </w:rPr>
        <w:t xml:space="preserve">              </w:t>
      </w:r>
      <w:r>
        <w:rPr>
          <w:rFonts w:hint="eastAsia" w:ascii="宋体" w:cs="宋体"/>
          <w:szCs w:val="21"/>
          <w:u w:val="single"/>
        </w:rPr>
      </w:r>
      <w:r/>
    </w:p>
    <w:p>
      <w:pPr>
        <w:pStyle w:val="1275"/>
        <w:spacing w:line="360" w:lineRule="auto"/>
        <w:rPr>
          <w:rFonts w:hint="eastAsia" w:ascii="宋体" w:cs="宋体"/>
          <w:szCs w:val="21"/>
        </w:rPr>
      </w:pPr>
      <w:r>
        <w:rPr>
          <w:rFonts w:hint="eastAsia" w:ascii="宋体" w:cs="宋体"/>
          <w:szCs w:val="21"/>
        </w:rPr>
        <w:t xml:space="preserve">授权代表签字：</w:t>
      </w:r>
      <w:r>
        <w:rPr>
          <w:rFonts w:hint="eastAsia" w:ascii="宋体" w:cs="宋体"/>
          <w:szCs w:val="21"/>
          <w:u w:val="single"/>
        </w:rPr>
        <w:t xml:space="preserve">                   </w:t>
      </w:r>
      <w:r>
        <w:rPr>
          <w:rFonts w:hint="eastAsia" w:ascii="宋体" w:cs="宋体"/>
          <w:szCs w:val="21"/>
        </w:rPr>
        <w:t xml:space="preserve"> </w:t>
      </w:r>
      <w:r>
        <w:rPr>
          <w:rFonts w:hint="eastAsia" w:ascii="宋体" w:cs="宋体"/>
          <w:szCs w:val="21"/>
        </w:rPr>
      </w:r>
      <w:r/>
    </w:p>
    <w:p>
      <w:pPr>
        <w:pStyle w:val="1275"/>
        <w:spacing w:line="360" w:lineRule="auto"/>
        <w:rPr>
          <w:rFonts w:hint="eastAsia" w:ascii="宋体" w:cs="宋体"/>
          <w:sz w:val="24"/>
        </w:rPr>
      </w:pPr>
      <w:r>
        <w:rPr>
          <w:rFonts w:hint="eastAsia" w:ascii="宋体" w:cs="宋体"/>
          <w:szCs w:val="21"/>
        </w:rPr>
        <w:t xml:space="preserve">日期：</w:t>
      </w:r>
      <w:r>
        <w:rPr>
          <w:rFonts w:hint="eastAsia" w:ascii="宋体" w:cs="宋体"/>
          <w:szCs w:val="21"/>
          <w:u w:val="single"/>
        </w:rPr>
        <w:t xml:space="preserve">               </w:t>
      </w:r>
      <w:r>
        <w:rPr>
          <w:rFonts w:hint="eastAsia" w:ascii="宋体" w:cs="宋体"/>
          <w:sz w:val="24"/>
        </w:rPr>
      </w:r>
      <w:r/>
    </w:p>
    <w:p>
      <w:pPr>
        <w:pStyle w:val="1275"/>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275"/>
        <w:spacing w:line="440" w:lineRule="exact"/>
        <w:rPr>
          <w:rFonts w:hint="eastAsia" w:ascii="宋体" w:cs="宋体"/>
          <w:b/>
          <w:bCs/>
          <w:sz w:val="24"/>
          <w:szCs w:val="22"/>
        </w:rPr>
        <w:outlineLvl w:val="1"/>
      </w:pPr>
      <w:r/>
      <w:bookmarkStart w:id="295" w:name="_Toc1929"/>
      <w:r/>
      <w:bookmarkStart w:id="296" w:name="_Toc9700"/>
      <w:r/>
      <w:bookmarkStart w:id="297" w:name="_Toc17035"/>
      <w:r>
        <w:rPr>
          <w:rFonts w:hint="eastAsia" w:ascii="宋体" w:cs="宋体"/>
          <w:b/>
          <w:bCs/>
          <w:sz w:val="24"/>
          <w:szCs w:val="22"/>
        </w:rPr>
        <w:t xml:space="preserve">附件二 开标一览表</w:t>
      </w:r>
      <w:bookmarkEnd w:id="295"/>
      <w:r/>
      <w:bookmarkEnd w:id="296"/>
      <w:r/>
      <w:bookmarkEnd w:id="297"/>
      <w:r>
        <w:rPr>
          <w:rFonts w:hint="eastAsia" w:ascii="宋体" w:cs="宋体"/>
          <w:b/>
          <w:bCs/>
          <w:sz w:val="24"/>
          <w:szCs w:val="22"/>
        </w:rPr>
      </w:r>
      <w:r/>
    </w:p>
    <w:p>
      <w:pPr>
        <w:pStyle w:val="1275"/>
        <w:jc w:val="center"/>
        <w:spacing w:line="440" w:lineRule="exact"/>
        <w:rPr>
          <w:b/>
          <w:sz w:val="28"/>
          <w:szCs w:val="22"/>
        </w:rPr>
      </w:pPr>
      <w:r>
        <w:rPr>
          <w:b/>
          <w:sz w:val="28"/>
          <w:szCs w:val="22"/>
        </w:rPr>
        <w:t xml:space="preserve">开标一览表</w:t>
      </w:r>
      <w:r>
        <w:rPr>
          <w:b/>
          <w:sz w:val="28"/>
          <w:szCs w:val="22"/>
        </w:rPr>
      </w:r>
      <w:r/>
    </w:p>
    <w:p>
      <w:pPr>
        <w:pStyle w:val="1275"/>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20"/>
        </w:trPr>
        <w:tc>
          <w:tcPr>
            <w:tcW w:w="2485" w:type="dxa"/>
            <w:vAlign w:val="center"/>
            <w:textDirection w:val="lrTb"/>
            <w:noWrap w:val="false"/>
          </w:tcPr>
          <w:p>
            <w:pPr>
              <w:pStyle w:val="1275"/>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275"/>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275"/>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275"/>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275"/>
              <w:spacing w:line="480" w:lineRule="exact"/>
              <w:rPr>
                <w:szCs w:val="21"/>
              </w:rPr>
            </w:pPr>
            <w:r>
              <w:rPr>
                <w:szCs w:val="21"/>
              </w:rPr>
              <w:t xml:space="preserve">（大写）：</w:t>
            </w:r>
            <w:r>
              <w:rPr>
                <w:szCs w:val="21"/>
                <w:u w:val="single"/>
              </w:rPr>
              <w:t xml:space="preserve">         </w:t>
            </w:r>
            <w:r>
              <w:rPr>
                <w:szCs w:val="21"/>
              </w:rPr>
            </w:r>
            <w:r/>
          </w:p>
        </w:tc>
      </w:tr>
      <w:tr>
        <w:trPr>
          <w:cantSplit/>
          <w:trHeight w:val="615"/>
        </w:trPr>
        <w:tc>
          <w:tcPr>
            <w:tcW w:w="2485" w:type="dxa"/>
            <w:vAlign w:val="center"/>
            <w:textDirection w:val="lrTb"/>
            <w:noWrap w:val="false"/>
          </w:tcPr>
          <w:p>
            <w:pPr>
              <w:pStyle w:val="1275"/>
              <w:jc w:val="center"/>
              <w:spacing w:line="480" w:lineRule="exact"/>
              <w:rPr>
                <w:szCs w:val="21"/>
              </w:rPr>
            </w:pPr>
            <w:r>
              <w:rPr>
                <w:szCs w:val="21"/>
              </w:rPr>
              <w:t xml:space="preserve">所投品牌</w:t>
            </w:r>
            <w:r>
              <w:rPr>
                <w:szCs w:val="21"/>
              </w:rPr>
            </w:r>
            <w:r/>
          </w:p>
          <w:p>
            <w:pPr>
              <w:pStyle w:val="1275"/>
              <w:jc w:val="center"/>
              <w:spacing w:line="480" w:lineRule="exact"/>
              <w:rPr>
                <w:rFonts w:hint="eastAsia"/>
                <w:szCs w:val="21"/>
              </w:rPr>
            </w:pPr>
            <w:r>
              <w:rPr>
                <w:rFonts w:hint="eastAsia"/>
                <w:b/>
                <w:bCs/>
                <w:szCs w:val="21"/>
              </w:rPr>
              <w:t xml:space="preserve">（如非单一产品则填写核心产品品牌）</w:t>
            </w:r>
            <w:r>
              <w:rPr>
                <w:rFonts w:hint="eastAsia"/>
                <w:szCs w:val="21"/>
              </w:rPr>
            </w:r>
            <w:r/>
          </w:p>
        </w:tc>
        <w:tc>
          <w:tcPr>
            <w:tcW w:w="6898" w:type="dxa"/>
            <w:vAlign w:val="center"/>
            <w:textDirection w:val="lrTb"/>
            <w:noWrap w:val="false"/>
          </w:tcPr>
          <w:p>
            <w:pPr>
              <w:pStyle w:val="1275"/>
              <w:spacing w:line="480" w:lineRule="exact"/>
              <w:rPr>
                <w:szCs w:val="21"/>
              </w:rPr>
            </w:pPr>
            <w:r>
              <w:rPr>
                <w:szCs w:val="21"/>
              </w:rPr>
            </w:r>
            <w:r/>
          </w:p>
        </w:tc>
      </w:tr>
      <w:tr>
        <w:trPr>
          <w:cantSplit/>
          <w:trHeight w:val="970"/>
        </w:trPr>
        <w:tc>
          <w:tcPr>
            <w:tcW w:w="2485" w:type="dxa"/>
            <w:vAlign w:val="center"/>
            <w:textDirection w:val="lrTb"/>
            <w:noWrap w:val="false"/>
          </w:tcPr>
          <w:p>
            <w:pPr>
              <w:pStyle w:val="1275"/>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275"/>
              <w:ind w:firstLine="105"/>
              <w:spacing w:line="480" w:lineRule="exact"/>
              <w:rPr>
                <w:szCs w:val="21"/>
              </w:rPr>
            </w:pPr>
            <w:r>
              <w:rPr>
                <w:szCs w:val="21"/>
              </w:rPr>
            </w:r>
            <w:r/>
          </w:p>
        </w:tc>
      </w:tr>
      <w:tr>
        <w:trPr>
          <w:cantSplit/>
          <w:trHeight w:val="890"/>
        </w:trPr>
        <w:tc>
          <w:tcPr>
            <w:tcW w:w="2485" w:type="dxa"/>
            <w:vAlign w:val="top"/>
            <w:textDirection w:val="lrTb"/>
            <w:noWrap w:val="false"/>
          </w:tcPr>
          <w:p>
            <w:pPr>
              <w:pStyle w:val="1275"/>
              <w:jc w:val="center"/>
              <w:spacing w:line="480" w:lineRule="exact"/>
            </w:pPr>
            <w:r>
              <w:rPr>
                <w:rFonts w:hint="eastAsia"/>
              </w:rPr>
              <w:t xml:space="preserve">是否属于小微型企业</w:t>
            </w:r>
            <w:r/>
          </w:p>
        </w:tc>
        <w:tc>
          <w:tcPr>
            <w:tcW w:w="6898" w:type="dxa"/>
            <w:vAlign w:val="top"/>
            <w:textDirection w:val="lrTb"/>
            <w:noWrap w:val="false"/>
          </w:tcPr>
          <w:p>
            <w:pPr>
              <w:pStyle w:val="1283"/>
              <w:ind w:firstLine="210"/>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275"/>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275"/>
        <w:spacing w:line="440" w:lineRule="exact"/>
        <w:rPr>
          <w:rFonts w:hint="eastAsia"/>
          <w:szCs w:val="21"/>
        </w:rPr>
      </w:pPr>
      <w:r>
        <w:rPr>
          <w:rFonts w:hint="eastAsia"/>
          <w:szCs w:val="21"/>
        </w:rPr>
      </w:r>
      <w:r/>
    </w:p>
    <w:p>
      <w:pPr>
        <w:pStyle w:val="1275"/>
        <w:ind w:firstLine="420"/>
        <w:rPr>
          <w:rFonts w:hint="eastAsia"/>
          <w:lang w:val="zh-CN"/>
        </w:rPr>
      </w:pPr>
      <w:r>
        <w:rPr>
          <w:rFonts w:hint="eastAsia"/>
          <w:lang w:val="zh-CN"/>
        </w:rPr>
      </w:r>
      <w:r/>
    </w:p>
    <w:p>
      <w:pPr>
        <w:pStyle w:val="1275"/>
        <w:spacing w:line="440" w:lineRule="exact"/>
        <w:rPr>
          <w:szCs w:val="21"/>
        </w:rPr>
      </w:pPr>
      <w:r>
        <w:rPr>
          <w:szCs w:val="21"/>
        </w:rPr>
        <w:t xml:space="preserve">投标人名称（公章）：</w:t>
      </w:r>
      <w:r>
        <w:rPr>
          <w:szCs w:val="21"/>
        </w:rPr>
      </w:r>
      <w:r/>
    </w:p>
    <w:p>
      <w:pPr>
        <w:pStyle w:val="1275"/>
        <w:spacing w:line="440" w:lineRule="exact"/>
        <w:rPr>
          <w:szCs w:val="21"/>
        </w:rPr>
      </w:pPr>
      <w:r>
        <w:rPr>
          <w:szCs w:val="21"/>
        </w:rPr>
        <w:t xml:space="preserve">授权代表（签字）：</w:t>
      </w:r>
      <w:r>
        <w:rPr>
          <w:szCs w:val="21"/>
        </w:rPr>
      </w:r>
      <w:r/>
    </w:p>
    <w:p>
      <w:pPr>
        <w:pStyle w:val="1275"/>
        <w:spacing w:line="440" w:lineRule="exact"/>
        <w:rPr>
          <w:szCs w:val="21"/>
        </w:rPr>
      </w:pPr>
      <w:r>
        <w:rPr>
          <w:szCs w:val="21"/>
        </w:rPr>
        <w:t xml:space="preserve">日期：</w:t>
      </w:r>
      <w:r>
        <w:rPr>
          <w:szCs w:val="21"/>
        </w:rPr>
      </w:r>
      <w:r/>
    </w:p>
    <w:p>
      <w:pPr>
        <w:pStyle w:val="1275"/>
        <w:spacing w:line="440" w:lineRule="exact"/>
        <w:rPr>
          <w:szCs w:val="21"/>
        </w:rPr>
      </w:pPr>
      <w:r>
        <w:rPr>
          <w:szCs w:val="21"/>
        </w:rPr>
      </w:r>
      <w:r/>
    </w:p>
    <w:p>
      <w:pPr>
        <w:pStyle w:val="1275"/>
        <w:spacing w:line="440" w:lineRule="exact"/>
        <w:rPr>
          <w:rFonts w:hint="eastAsia" w:ascii="宋体" w:cs="宋体"/>
          <w:b/>
        </w:rPr>
      </w:pPr>
      <w:r>
        <w:rPr>
          <w:szCs w:val="21"/>
        </w:rPr>
        <w:t xml:space="preserve">注：此表中，投标总价合计应和分项报价表中的总价一致。</w:t>
      </w:r>
      <w:r>
        <w:rPr>
          <w:rFonts w:hint="eastAsia" w:ascii="宋体" w:cs="宋体"/>
          <w:b/>
        </w:rPr>
      </w:r>
      <w:r/>
    </w:p>
    <w:p>
      <w:pPr>
        <w:pStyle w:val="1275"/>
        <w:jc w:val="center"/>
        <w:spacing w:line="440" w:lineRule="exact"/>
        <w:rPr>
          <w:rFonts w:hint="eastAsia" w:ascii="宋体" w:cs="宋体"/>
          <w:b/>
        </w:rPr>
      </w:pPr>
      <w:r>
        <w:rPr>
          <w:rFonts w:hint="eastAsia" w:ascii="宋体" w:cs="宋体"/>
          <w:b/>
        </w:rPr>
      </w:r>
      <w:r/>
    </w:p>
    <w:p>
      <w:pPr>
        <w:pStyle w:val="1275"/>
        <w:jc w:val="center"/>
        <w:spacing w:line="440" w:lineRule="exact"/>
        <w:rPr>
          <w:rFonts w:hint="eastAsia" w:ascii="宋体" w:cs="宋体"/>
          <w:b/>
        </w:rPr>
      </w:pPr>
      <w:r>
        <w:rPr>
          <w:rFonts w:hint="eastAsia" w:ascii="宋体" w:cs="宋体"/>
          <w:b/>
        </w:rPr>
      </w:r>
      <w:r/>
    </w:p>
    <w:p>
      <w:pPr>
        <w:pStyle w:val="1275"/>
        <w:jc w:val="center"/>
        <w:spacing w:line="440" w:lineRule="exact"/>
        <w:rPr>
          <w:rFonts w:hint="eastAsia" w:ascii="宋体" w:cs="宋体"/>
          <w:b/>
        </w:rPr>
      </w:pPr>
      <w:r>
        <w:rPr>
          <w:rFonts w:hint="eastAsia" w:ascii="宋体" w:cs="宋体"/>
          <w:b/>
        </w:rPr>
      </w:r>
      <w:r/>
    </w:p>
    <w:p>
      <w:pPr>
        <w:pStyle w:val="1275"/>
        <w:jc w:val="center"/>
        <w:spacing w:line="440" w:lineRule="exact"/>
        <w:rPr>
          <w:rFonts w:hint="eastAsia" w:ascii="宋体" w:cs="宋体"/>
          <w:b/>
        </w:rPr>
      </w:pPr>
      <w:r>
        <w:rPr>
          <w:rFonts w:hint="eastAsia" w:ascii="宋体" w:cs="宋体"/>
          <w:b/>
        </w:rPr>
      </w:r>
      <w:r/>
    </w:p>
    <w:p>
      <w:pPr>
        <w:pStyle w:val="1275"/>
        <w:jc w:val="center"/>
        <w:spacing w:line="440" w:lineRule="exact"/>
        <w:rPr>
          <w:rFonts w:hint="eastAsia" w:ascii="宋体" w:cs="宋体"/>
          <w:b/>
        </w:rPr>
      </w:pPr>
      <w:r>
        <w:rPr>
          <w:rFonts w:hint="eastAsia" w:ascii="宋体" w:cs="宋体"/>
          <w:b/>
        </w:rPr>
      </w:r>
      <w:r/>
    </w:p>
    <w:p>
      <w:pPr>
        <w:pStyle w:val="1275"/>
        <w:jc w:val="center"/>
        <w:spacing w:line="440" w:lineRule="exact"/>
        <w:rPr>
          <w:rFonts w:hint="eastAsia" w:ascii="宋体" w:cs="宋体"/>
          <w:b/>
        </w:rPr>
      </w:pPr>
      <w:r>
        <w:rPr>
          <w:rFonts w:hint="eastAsia" w:ascii="宋体" w:cs="宋体"/>
          <w:b/>
        </w:rPr>
      </w:r>
      <w:r/>
    </w:p>
    <w:p>
      <w:pPr>
        <w:pStyle w:val="1275"/>
        <w:spacing w:line="440" w:lineRule="exact"/>
        <w:rPr>
          <w:rFonts w:hint="eastAsia" w:ascii="宋体" w:cs="宋体"/>
          <w:b/>
          <w:bCs/>
          <w:sz w:val="24"/>
          <w:szCs w:val="22"/>
        </w:rPr>
        <w:outlineLvl w:val="1"/>
      </w:pPr>
      <w:r/>
      <w:bookmarkStart w:id="298" w:name="_Toc11266"/>
      <w:r/>
      <w:bookmarkStart w:id="299" w:name="_Toc9380"/>
      <w:r/>
      <w:bookmarkStart w:id="300" w:name="_Toc5534"/>
      <w:r>
        <w:rPr>
          <w:rFonts w:hint="eastAsia" w:ascii="宋体" w:cs="宋体"/>
          <w:b/>
          <w:bCs/>
          <w:sz w:val="24"/>
          <w:szCs w:val="22"/>
        </w:rPr>
        <w:br w:type="page" w:clear="all"/>
      </w:r>
      <w:bookmarkStart w:id="301" w:name="_Toc8960"/>
      <w:r>
        <w:rPr>
          <w:rFonts w:hint="eastAsia" w:ascii="宋体" w:cs="宋体"/>
          <w:b/>
          <w:bCs/>
          <w:sz w:val="24"/>
          <w:szCs w:val="22"/>
        </w:rPr>
        <w:t xml:space="preserve">附件三 分项报价表</w:t>
      </w:r>
      <w:bookmarkEnd w:id="298"/>
      <w:r/>
      <w:bookmarkEnd w:id="299"/>
      <w:r/>
      <w:bookmarkEnd w:id="300"/>
      <w:r/>
      <w:bookmarkEnd w:id="301"/>
      <w:r>
        <w:rPr>
          <w:rFonts w:hint="eastAsia" w:ascii="宋体" w:cs="宋体"/>
          <w:b/>
          <w:bCs/>
          <w:sz w:val="24"/>
          <w:szCs w:val="22"/>
        </w:rPr>
      </w:r>
      <w:r/>
    </w:p>
    <w:p>
      <w:pPr>
        <w:pStyle w:val="1275"/>
        <w:jc w:val="center"/>
        <w:spacing w:line="440" w:lineRule="exact"/>
        <w:rPr>
          <w:rFonts w:hint="eastAsia" w:ascii="宋体" w:cs="宋体"/>
          <w:b/>
          <w:sz w:val="28"/>
          <w:szCs w:val="22"/>
        </w:rPr>
      </w:pPr>
      <w:r>
        <w:rPr>
          <w:rFonts w:hint="eastAsia" w:ascii="宋体" w:cs="宋体"/>
          <w:b/>
          <w:sz w:val="28"/>
          <w:szCs w:val="22"/>
        </w:rPr>
        <w:t xml:space="preserve">分项报价表</w:t>
      </w:r>
      <w:r>
        <w:rPr>
          <w:rFonts w:hint="eastAsia" w:ascii="宋体" w:cs="宋体"/>
          <w:b/>
          <w:sz w:val="28"/>
          <w:szCs w:val="22"/>
        </w:rPr>
      </w:r>
      <w:r/>
    </w:p>
    <w:p>
      <w:pPr>
        <w:pStyle w:val="1275"/>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8"/>
        <w:gridCol w:w="2482"/>
        <w:gridCol w:w="1306"/>
        <w:gridCol w:w="725"/>
        <w:gridCol w:w="1333"/>
        <w:gridCol w:w="1057"/>
        <w:gridCol w:w="1094"/>
        <w:gridCol w:w="1204"/>
      </w:tblGrid>
      <w:tr>
        <w:trPr/>
        <w:tc>
          <w:tcPr>
            <w:tcW w:w="315"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264"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r>
            <w:r/>
          </w:p>
        </w:tc>
        <w:tc>
          <w:tcPr>
            <w:tcW w:w="664"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品牌、规格</w:t>
            </w:r>
            <w:r>
              <w:rPr>
                <w:rFonts w:hint="eastAsia" w:ascii="宋体" w:hAnsi="宋体" w:cs="宋体"/>
                <w:szCs w:val="21"/>
              </w:rPr>
            </w:r>
            <w:r/>
          </w:p>
        </w:tc>
        <w:tc>
          <w:tcPr>
            <w:tcW w:w="369"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679" w:type="dxa"/>
            <w:vAlign w:val="top"/>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原产地和</w:t>
            </w:r>
            <w:r>
              <w:rPr>
                <w:rFonts w:hint="eastAsia" w:ascii="宋体" w:hAnsi="宋体" w:cs="宋体"/>
                <w:szCs w:val="21"/>
              </w:rPr>
            </w:r>
            <w:r/>
          </w:p>
          <w:p>
            <w:pPr>
              <w:pStyle w:val="1275"/>
              <w:jc w:val="center"/>
              <w:spacing w:line="440" w:lineRule="exact"/>
              <w:rPr>
                <w:rFonts w:hint="eastAsia" w:ascii="宋体" w:hAnsi="宋体" w:cs="宋体"/>
                <w:szCs w:val="21"/>
              </w:rPr>
            </w:pPr>
            <w:r>
              <w:rPr>
                <w:rFonts w:hint="eastAsia" w:ascii="宋体" w:hAnsi="宋体" w:cs="宋体"/>
                <w:szCs w:val="21"/>
              </w:rPr>
              <w:t xml:space="preserve">制造商名称</w:t>
            </w:r>
            <w:r>
              <w:rPr>
                <w:rFonts w:hint="eastAsia" w:ascii="宋体" w:hAnsi="宋体" w:cs="宋体"/>
                <w:szCs w:val="21"/>
              </w:rPr>
            </w:r>
            <w:r/>
          </w:p>
        </w:tc>
        <w:tc>
          <w:tcPr>
            <w:tcW w:w="538"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单项金额</w:t>
            </w:r>
            <w:r>
              <w:rPr>
                <w:rFonts w:hint="eastAsia" w:ascii="宋体" w:hAnsi="宋体" w:cs="宋体"/>
                <w:szCs w:val="21"/>
              </w:rPr>
            </w:r>
            <w:r/>
          </w:p>
        </w:tc>
        <w:tc>
          <w:tcPr>
            <w:tcW w:w="557"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总价金额</w:t>
            </w:r>
            <w:r>
              <w:rPr>
                <w:rFonts w:hint="eastAsia" w:ascii="宋体" w:hAnsi="宋体" w:cs="宋体"/>
                <w:szCs w:val="21"/>
              </w:rPr>
            </w:r>
            <w:r/>
          </w:p>
        </w:tc>
        <w:tc>
          <w:tcPr>
            <w:tcW w:w="611" w:type="dxa"/>
            <w:vAlign w:val="center"/>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rPr>
              <w:t xml:space="preserve">是否为进口产品</w:t>
            </w:r>
            <w:r>
              <w:rPr>
                <w:rFonts w:hint="eastAsia" w:ascii="宋体" w:hAnsi="宋体" w:cs="宋体"/>
                <w:szCs w:val="21"/>
              </w:rPr>
            </w:r>
            <w:r/>
          </w:p>
        </w:tc>
      </w:tr>
      <w:tr>
        <w:trPr/>
        <w:tc>
          <w:tcPr>
            <w:tcW w:w="31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1264" w:type="dxa"/>
            <w:vAlign w:val="center"/>
            <w:textDirection w:val="lrTb"/>
            <w:noWrap w:val="false"/>
          </w:tcPr>
          <w:p>
            <w:pPr>
              <w:pStyle w:val="1275"/>
              <w:jc w:val="center"/>
              <w:rPr>
                <w:rFonts w:hint="eastAsia" w:ascii="宋体" w:hAnsi="宋体" w:cs="宋体"/>
                <w:color w:val="000000"/>
                <w:sz w:val="20"/>
              </w:rPr>
            </w:pPr>
            <w:r>
              <w:rPr>
                <w:rFonts w:hint="eastAsia" w:ascii="宋体" w:hAnsi="宋体" w:eastAsia="宋体" w:cs="宋体"/>
                <w:sz w:val="21"/>
                <w:szCs w:val="24"/>
              </w:rPr>
              <w:t xml:space="preserve">高频微波场强标准装置</w:t>
            </w:r>
            <w:r>
              <w:rPr>
                <w:rFonts w:hint="eastAsia" w:ascii="宋体" w:hAnsi="宋体" w:eastAsia="宋体" w:cs="宋体"/>
                <w:b/>
                <w:color w:val="ff0000"/>
                <w:sz w:val="21"/>
                <w:szCs w:val="24"/>
              </w:rPr>
              <w:t xml:space="preserve">（核心产品）</w:t>
            </w:r>
            <w:r>
              <w:rPr>
                <w:rFonts w:hint="eastAsia" w:ascii="宋体" w:hAnsi="宋体" w:cs="宋体"/>
                <w:color w:val="000000"/>
                <w:sz w:val="20"/>
              </w:rPr>
            </w:r>
            <w:r/>
          </w:p>
        </w:tc>
        <w:tc>
          <w:tcPr>
            <w:tcW w:w="664" w:type="dxa"/>
            <w:vAlign w:val="center"/>
            <w:textDirection w:val="lrTb"/>
            <w:noWrap w:val="false"/>
          </w:tcPr>
          <w:p>
            <w:pPr>
              <w:pStyle w:val="1275"/>
              <w:jc w:val="center"/>
              <w:keepNext/>
              <w:spacing w:line="360" w:lineRule="auto"/>
              <w:rPr>
                <w:rFonts w:hint="eastAsia" w:ascii="宋体" w:hAnsi="宋体" w:cs="宋体"/>
                <w:szCs w:val="21"/>
              </w:rPr>
              <w:outlineLvl w:val="0"/>
            </w:pPr>
            <w:r>
              <w:rPr>
                <w:rFonts w:hint="eastAsia" w:ascii="宋体" w:hAnsi="宋体" w:cs="宋体"/>
                <w:szCs w:val="21"/>
              </w:rPr>
            </w:r>
            <w:r/>
          </w:p>
        </w:tc>
        <w:tc>
          <w:tcPr>
            <w:tcW w:w="369" w:type="dxa"/>
            <w:vAlign w:val="center"/>
            <w:textDirection w:val="lrTb"/>
            <w:noWrap w:val="false"/>
          </w:tcPr>
          <w:p>
            <w:pPr>
              <w:pStyle w:val="1275"/>
              <w:jc w:val="center"/>
              <w:widowControl/>
              <w:rPr>
                <w:rFonts w:hint="eastAsia"/>
                <w:color w:val="000000"/>
                <w:sz w:val="20"/>
                <w:lang w:bidi="ar"/>
              </w:rPr>
            </w:pPr>
            <w:r>
              <w:rPr>
                <w:rFonts w:hint="eastAsia"/>
                <w:color w:val="000000"/>
                <w:sz w:val="20"/>
                <w:lang w:bidi="ar"/>
              </w:rPr>
            </w:r>
            <w:r/>
          </w:p>
        </w:tc>
        <w:tc>
          <w:tcPr>
            <w:tcW w:w="679"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38"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611"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r>
      <w:tr>
        <w:trPr/>
        <w:tc>
          <w:tcPr>
            <w:tcW w:w="31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1264" w:type="dxa"/>
            <w:vAlign w:val="center"/>
            <w:textDirection w:val="lrTb"/>
            <w:noWrap w:val="false"/>
          </w:tcPr>
          <w:p>
            <w:pPr>
              <w:pStyle w:val="1275"/>
              <w:jc w:val="center"/>
              <w:rPr>
                <w:rFonts w:hint="eastAsia"/>
                <w:color w:val="000000"/>
                <w:sz w:val="20"/>
              </w:rPr>
            </w:pPr>
            <w:r>
              <w:rPr>
                <w:rFonts w:hint="eastAsia" w:ascii="宋体" w:hAnsi="宋体" w:eastAsia="宋体" w:cs="宋体"/>
                <w:sz w:val="21"/>
                <w:szCs w:val="24"/>
              </w:rPr>
              <w:t xml:space="preserve">测试场地检测装置</w:t>
            </w:r>
            <w:r>
              <w:rPr>
                <w:rFonts w:hint="eastAsia"/>
                <w:color w:val="000000"/>
                <w:sz w:val="20"/>
              </w:rPr>
            </w:r>
            <w:r/>
          </w:p>
        </w:tc>
        <w:tc>
          <w:tcPr>
            <w:tcW w:w="66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369" w:type="dxa"/>
            <w:vAlign w:val="center"/>
            <w:textDirection w:val="lrTb"/>
            <w:noWrap w:val="false"/>
          </w:tcPr>
          <w:p>
            <w:pPr>
              <w:pStyle w:val="1275"/>
              <w:jc w:val="center"/>
              <w:widowControl/>
              <w:rPr>
                <w:rFonts w:hint="eastAsia"/>
                <w:color w:val="000000"/>
                <w:sz w:val="20"/>
                <w:lang w:bidi="ar"/>
              </w:rPr>
            </w:pPr>
            <w:r>
              <w:rPr>
                <w:rFonts w:hint="eastAsia"/>
                <w:color w:val="000000"/>
                <w:sz w:val="20"/>
                <w:lang w:bidi="ar"/>
              </w:rPr>
            </w:r>
            <w:r/>
          </w:p>
        </w:tc>
        <w:tc>
          <w:tcPr>
            <w:tcW w:w="679"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38"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611"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r>
      <w:tr>
        <w:trPr/>
        <w:tc>
          <w:tcPr>
            <w:tcW w:w="31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1264" w:type="dxa"/>
            <w:vAlign w:val="center"/>
            <w:textDirection w:val="lrTb"/>
            <w:noWrap w:val="false"/>
          </w:tcPr>
          <w:p>
            <w:pPr>
              <w:pStyle w:val="1275"/>
              <w:jc w:val="center"/>
              <w:rPr>
                <w:rFonts w:hint="eastAsia"/>
                <w:color w:val="000000"/>
                <w:sz w:val="20"/>
              </w:rPr>
            </w:pPr>
            <w:r>
              <w:rPr>
                <w:rFonts w:hint="eastAsia" w:ascii="宋体" w:hAnsi="宋体" w:eastAsia="宋体" w:cs="宋体"/>
                <w:sz w:val="21"/>
                <w:szCs w:val="24"/>
              </w:rPr>
              <w:t xml:space="preserve">数据中心能效检测装置</w:t>
            </w:r>
            <w:r>
              <w:rPr>
                <w:rFonts w:hint="eastAsia"/>
                <w:color w:val="000000"/>
                <w:sz w:val="20"/>
              </w:rPr>
            </w:r>
            <w:r/>
          </w:p>
        </w:tc>
        <w:tc>
          <w:tcPr>
            <w:tcW w:w="66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369" w:type="dxa"/>
            <w:vAlign w:val="center"/>
            <w:textDirection w:val="lrTb"/>
            <w:noWrap w:val="false"/>
          </w:tcPr>
          <w:p>
            <w:pPr>
              <w:pStyle w:val="1275"/>
              <w:jc w:val="center"/>
              <w:widowControl/>
              <w:rPr>
                <w:rFonts w:hint="eastAsia"/>
                <w:color w:val="000000"/>
                <w:sz w:val="20"/>
                <w:lang w:bidi="ar"/>
              </w:rPr>
            </w:pPr>
            <w:r>
              <w:rPr>
                <w:rFonts w:hint="eastAsia"/>
                <w:color w:val="000000"/>
                <w:sz w:val="20"/>
                <w:lang w:bidi="ar"/>
              </w:rPr>
            </w:r>
            <w:r/>
          </w:p>
        </w:tc>
        <w:tc>
          <w:tcPr>
            <w:tcW w:w="679"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38"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611"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r>
      <w:tr>
        <w:trPr/>
        <w:tc>
          <w:tcPr>
            <w:tcW w:w="31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1264" w:type="dxa"/>
            <w:vAlign w:val="center"/>
            <w:textDirection w:val="lrTb"/>
            <w:noWrap w:val="false"/>
          </w:tcPr>
          <w:p>
            <w:pPr>
              <w:pStyle w:val="1275"/>
              <w:jc w:val="center"/>
              <w:widowControl/>
              <w:rPr>
                <w:rFonts w:hint="eastAsia"/>
                <w:color w:val="000000"/>
                <w:sz w:val="20"/>
              </w:rPr>
            </w:pPr>
            <w:r>
              <w:rPr>
                <w:rFonts w:hint="eastAsia"/>
                <w:color w:val="000000"/>
                <w:sz w:val="20"/>
              </w:rPr>
            </w:r>
            <w:r/>
          </w:p>
        </w:tc>
        <w:tc>
          <w:tcPr>
            <w:tcW w:w="66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369" w:type="dxa"/>
            <w:vAlign w:val="center"/>
            <w:textDirection w:val="lrTb"/>
            <w:noWrap w:val="false"/>
          </w:tcPr>
          <w:p>
            <w:pPr>
              <w:pStyle w:val="1275"/>
              <w:jc w:val="center"/>
              <w:widowControl/>
              <w:rPr>
                <w:rFonts w:hint="eastAsia"/>
                <w:color w:val="000000"/>
                <w:sz w:val="20"/>
                <w:lang w:bidi="ar"/>
              </w:rPr>
            </w:pPr>
            <w:r>
              <w:rPr>
                <w:rFonts w:hint="eastAsia"/>
                <w:color w:val="000000"/>
                <w:sz w:val="20"/>
                <w:lang w:bidi="ar"/>
              </w:rPr>
            </w:r>
            <w:r/>
          </w:p>
        </w:tc>
        <w:tc>
          <w:tcPr>
            <w:tcW w:w="679"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38"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611"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r>
      <w:tr>
        <w:trPr/>
        <w:tc>
          <w:tcPr>
            <w:tcW w:w="315"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1264" w:type="dxa"/>
            <w:vAlign w:val="center"/>
            <w:textDirection w:val="lrTb"/>
            <w:noWrap w:val="false"/>
          </w:tcPr>
          <w:p>
            <w:pPr>
              <w:pStyle w:val="1275"/>
              <w:jc w:val="center"/>
              <w:widowControl/>
              <w:rPr>
                <w:rFonts w:hint="eastAsia"/>
                <w:color w:val="000000"/>
                <w:sz w:val="20"/>
              </w:rPr>
            </w:pPr>
            <w:r>
              <w:rPr>
                <w:rFonts w:hint="eastAsia"/>
                <w:color w:val="000000"/>
                <w:sz w:val="20"/>
              </w:rPr>
            </w:r>
            <w:r/>
          </w:p>
        </w:tc>
        <w:tc>
          <w:tcPr>
            <w:tcW w:w="664" w:type="dxa"/>
            <w:vAlign w:val="center"/>
            <w:textDirection w:val="lrTb"/>
            <w:noWrap w:val="false"/>
          </w:tcPr>
          <w:p>
            <w:pPr>
              <w:pStyle w:val="1275"/>
              <w:jc w:val="center"/>
              <w:spacing w:line="360" w:lineRule="auto"/>
              <w:rPr>
                <w:rFonts w:hint="eastAsia" w:ascii="宋体" w:hAnsi="宋体" w:cs="宋体"/>
                <w:szCs w:val="21"/>
              </w:rPr>
            </w:pPr>
            <w:r>
              <w:rPr>
                <w:rFonts w:hint="eastAsia" w:ascii="宋体" w:hAnsi="宋体" w:cs="宋体"/>
                <w:szCs w:val="21"/>
              </w:rPr>
            </w:r>
            <w:r/>
          </w:p>
        </w:tc>
        <w:tc>
          <w:tcPr>
            <w:tcW w:w="369" w:type="dxa"/>
            <w:vAlign w:val="center"/>
            <w:textDirection w:val="lrTb"/>
            <w:noWrap w:val="false"/>
          </w:tcPr>
          <w:p>
            <w:pPr>
              <w:pStyle w:val="1275"/>
              <w:jc w:val="center"/>
              <w:widowControl/>
              <w:rPr>
                <w:rFonts w:hint="eastAsia"/>
                <w:color w:val="000000"/>
                <w:sz w:val="20"/>
                <w:lang w:bidi="ar"/>
              </w:rPr>
            </w:pPr>
            <w:r>
              <w:rPr>
                <w:rFonts w:hint="eastAsia"/>
                <w:color w:val="000000"/>
                <w:sz w:val="20"/>
                <w:lang w:bidi="ar"/>
              </w:rPr>
            </w:r>
            <w:r/>
          </w:p>
        </w:tc>
        <w:tc>
          <w:tcPr>
            <w:tcW w:w="679"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38"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c>
          <w:tcPr>
            <w:tcW w:w="611"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r>
      <w:tr>
        <w:trPr/>
        <w:tc>
          <w:tcPr>
            <w:gridSpan w:val="3"/>
            <w:tcW w:w="4406" w:type="dxa"/>
            <w:vAlign w:val="top"/>
            <w:textDirection w:val="lrTb"/>
            <w:noWrap w:val="false"/>
          </w:tcPr>
          <w:p>
            <w:pPr>
              <w:pStyle w:val="1275"/>
              <w:jc w:val="center"/>
              <w:spacing w:line="440" w:lineRule="exact"/>
              <w:rPr>
                <w:rFonts w:hint="eastAsia" w:ascii="宋体" w:hAnsi="宋体" w:cs="宋体"/>
                <w:szCs w:val="21"/>
              </w:rPr>
            </w:pPr>
            <w:r>
              <w:rPr>
                <w:rFonts w:hint="eastAsia" w:ascii="宋体" w:hAnsi="宋体" w:cs="宋体"/>
                <w:szCs w:val="21"/>
                <w:lang w:bidi="ar"/>
              </w:rPr>
              <w:t xml:space="preserve">投标总价合计：</w:t>
            </w:r>
            <w:r>
              <w:rPr>
                <w:rFonts w:hint="eastAsia" w:ascii="宋体" w:hAnsi="宋体" w:cs="宋体"/>
                <w:szCs w:val="21"/>
              </w:rPr>
            </w:r>
            <w:r/>
          </w:p>
        </w:tc>
        <w:tc>
          <w:tcPr>
            <w:gridSpan w:val="5"/>
            <w:tcW w:w="5413"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szCs w:val="21"/>
              </w:rPr>
            </w:r>
            <w:r/>
          </w:p>
        </w:tc>
      </w:tr>
      <w:tr>
        <w:trPr/>
        <w:tc>
          <w:tcPr>
            <w:gridSpan w:val="8"/>
            <w:tcW w:w="9819" w:type="dxa"/>
            <w:vAlign w:val="top"/>
            <w:textDirection w:val="lrTb"/>
            <w:noWrap w:val="false"/>
          </w:tcPr>
          <w:p>
            <w:pPr>
              <w:pStyle w:val="1275"/>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275"/>
        <w:spacing w:line="440" w:lineRule="exact"/>
        <w:rPr>
          <w:rFonts w:hint="eastAsia" w:ascii="宋体" w:cs="宋体"/>
          <w:szCs w:val="21"/>
        </w:rPr>
      </w:pP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275"/>
        <w:spacing w:line="440" w:lineRule="exact"/>
        <w:rPr>
          <w:rFonts w:hint="eastAsia" w:ascii="宋体" w:hAnsi="宋体" w:cs="宋体"/>
        </w:rPr>
      </w:pPr>
      <w:r>
        <w:rPr>
          <w:rFonts w:hint="eastAsia" w:ascii="宋体" w:hAnsi="宋体" w:cs="宋体"/>
        </w:rPr>
      </w:r>
      <w:r/>
    </w:p>
    <w:p>
      <w:pPr>
        <w:pStyle w:val="1275"/>
        <w:spacing w:line="440" w:lineRule="exact"/>
        <w:rPr>
          <w:rFonts w:hint="eastAsia" w:ascii="宋体" w:hAnsi="宋体" w:cs="宋体"/>
        </w:rPr>
      </w:pPr>
      <w:r>
        <w:rPr>
          <w:rFonts w:hint="eastAsia" w:ascii="宋体" w:hAnsi="宋体" w:cs="宋体"/>
        </w:rPr>
        <w:t xml:space="preserve">注：1、供应商应根据自身所投标的情况</w:t>
      </w:r>
      <w:r>
        <w:rPr>
          <w:rFonts w:hint="eastAsia" w:ascii="宋体" w:hAnsi="宋体" w:cs="宋体"/>
          <w:color w:val="ff0000"/>
        </w:rPr>
        <w:t xml:space="preserve">（上述格式供参考）</w:t>
      </w:r>
      <w:r>
        <w:rPr>
          <w:rFonts w:hint="eastAsia" w:ascii="宋体" w:hAnsi="宋体" w:cs="宋体"/>
        </w:rPr>
        <w:t xml:space="preserve">，提供详细分项报价。</w:t>
      </w:r>
      <w:r>
        <w:rPr>
          <w:rFonts w:hint="eastAsia" w:ascii="宋体" w:hAnsi="宋体" w:cs="宋体"/>
        </w:rPr>
      </w:r>
      <w:r/>
    </w:p>
    <w:p>
      <w:pPr>
        <w:pStyle w:val="1275"/>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275"/>
        <w:ind w:firstLine="420"/>
        <w:spacing w:line="440" w:lineRule="exact"/>
        <w:rPr>
          <w:rFonts w:hint="eastAsia" w:ascii="宋体" w:hAnsi="宋体" w:cs="宋体"/>
        </w:rPr>
      </w:pPr>
      <w:r>
        <w:rPr>
          <w:rFonts w:hint="eastAsia"/>
          <w:color w:val="000000"/>
          <w:szCs w:val="21"/>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275"/>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275"/>
        <w:spacing w:line="440" w:lineRule="exact"/>
        <w:rPr>
          <w:rFonts w:hint="eastAsia" w:ascii="宋体" w:cs="宋体"/>
          <w:b/>
          <w:bCs/>
          <w:sz w:val="24"/>
          <w:szCs w:val="22"/>
        </w:rPr>
        <w:outlineLvl w:val="1"/>
      </w:pPr>
      <w:r>
        <w:rPr>
          <w:rFonts w:hint="eastAsia" w:ascii="宋体" w:cs="宋体"/>
        </w:rPr>
        <w:br w:type="page" w:clear="all"/>
      </w:r>
      <w:bookmarkStart w:id="302" w:name="_Toc31821"/>
      <w:r/>
      <w:bookmarkStart w:id="303" w:name="_Toc1916"/>
      <w:r/>
      <w:bookmarkStart w:id="304" w:name="_Toc2083"/>
      <w:r>
        <w:rPr>
          <w:rFonts w:hint="eastAsia" w:ascii="宋体" w:cs="宋体"/>
          <w:b/>
          <w:bCs/>
          <w:sz w:val="24"/>
          <w:szCs w:val="22"/>
        </w:rPr>
        <w:t xml:space="preserve">附件四 商务条款偏离表</w:t>
      </w:r>
      <w:bookmarkEnd w:id="302"/>
      <w:r/>
      <w:bookmarkEnd w:id="303"/>
      <w:r/>
      <w:bookmarkEnd w:id="304"/>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275"/>
              <w:jc w:val="center"/>
              <w:spacing w:before="156"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tcW w:w="1734" w:type="dxa"/>
            <w:vAlign w:val="top"/>
            <w:textDirection w:val="lrTb"/>
            <w:noWrap w:val="false"/>
          </w:tcPr>
          <w:p>
            <w:pPr>
              <w:pStyle w:val="1275"/>
              <w:jc w:val="center"/>
              <w:spacing w:before="156" w:line="440" w:lineRule="exact"/>
              <w:rPr>
                <w:rFonts w:hint="eastAsia" w:ascii="宋体" w:cs="宋体"/>
                <w:szCs w:val="21"/>
              </w:rPr>
            </w:pPr>
            <w:r>
              <w:rPr>
                <w:rFonts w:hint="eastAsia" w:ascii="宋体" w:cs="宋体"/>
                <w:szCs w:val="21"/>
              </w:rPr>
              <w:t xml:space="preserve">招标文件条目号</w:t>
            </w:r>
            <w:r>
              <w:rPr>
                <w:rFonts w:hint="eastAsia" w:ascii="宋体" w:cs="宋体"/>
                <w:szCs w:val="21"/>
              </w:rPr>
            </w:r>
            <w:r/>
          </w:p>
        </w:tc>
        <w:tc>
          <w:tcPr>
            <w:tcW w:w="2895" w:type="dxa"/>
            <w:vAlign w:val="top"/>
            <w:textDirection w:val="lrTb"/>
            <w:noWrap w:val="false"/>
          </w:tcPr>
          <w:p>
            <w:pPr>
              <w:pStyle w:val="1275"/>
              <w:jc w:val="center"/>
              <w:spacing w:before="156" w:line="440" w:lineRule="exact"/>
              <w:rPr>
                <w:rFonts w:hint="eastAsia" w:ascii="宋体" w:cs="宋体"/>
                <w:szCs w:val="21"/>
              </w:rPr>
            </w:pPr>
            <w:r>
              <w:rPr>
                <w:rFonts w:hint="eastAsia" w:ascii="宋体" w:cs="宋体"/>
                <w:szCs w:val="21"/>
              </w:rPr>
              <w:t xml:space="preserve">招标文件的商务条款</w:t>
            </w:r>
            <w:r>
              <w:rPr>
                <w:rFonts w:hint="eastAsia" w:ascii="宋体" w:cs="宋体"/>
                <w:szCs w:val="21"/>
              </w:rPr>
            </w:r>
            <w:r/>
          </w:p>
        </w:tc>
        <w:tc>
          <w:tcPr>
            <w:tcW w:w="1628" w:type="dxa"/>
            <w:vAlign w:val="top"/>
            <w:textDirection w:val="lrTb"/>
            <w:noWrap w:val="false"/>
          </w:tcPr>
          <w:p>
            <w:pPr>
              <w:pStyle w:val="1275"/>
              <w:jc w:val="center"/>
              <w:spacing w:before="156" w:line="440" w:lineRule="exact"/>
              <w:rPr>
                <w:rFonts w:hint="eastAsia" w:ascii="宋体" w:cs="宋体"/>
                <w:szCs w:val="21"/>
              </w:rPr>
            </w:pPr>
            <w:r>
              <w:rPr>
                <w:rFonts w:hint="eastAsia" w:ascii="宋体" w:cs="宋体"/>
                <w:szCs w:val="21"/>
              </w:rPr>
              <w:t xml:space="preserve">投标文件响应</w:t>
            </w:r>
            <w:r>
              <w:rPr>
                <w:rFonts w:hint="eastAsia" w:ascii="宋体" w:cs="宋体"/>
                <w:szCs w:val="21"/>
              </w:rPr>
            </w:r>
            <w:r/>
          </w:p>
        </w:tc>
        <w:tc>
          <w:tcPr>
            <w:tcW w:w="2815" w:type="dxa"/>
            <w:vAlign w:val="top"/>
            <w:textDirection w:val="lrTb"/>
            <w:noWrap w:val="false"/>
          </w:tcPr>
          <w:p>
            <w:pPr>
              <w:pStyle w:val="1275"/>
              <w:jc w:val="center"/>
              <w:spacing w:before="156" w:line="440" w:lineRule="exact"/>
              <w:rPr>
                <w:rFonts w:hint="eastAsia" w:ascii="宋体" w:cs="宋体"/>
                <w:szCs w:val="21"/>
              </w:rPr>
            </w:pPr>
            <w:r>
              <w:rPr>
                <w:rFonts w:hint="eastAsia" w:ascii="宋体" w:cs="宋体"/>
                <w:szCs w:val="21"/>
              </w:rPr>
              <w:t xml:space="preserve">投标人的承诺或说明</w:t>
            </w:r>
            <w:r>
              <w:rPr>
                <w:rFonts w:hint="eastAsia" w:ascii="宋体" w:cs="宋体"/>
                <w:szCs w:val="21"/>
              </w:rPr>
            </w:r>
            <w:r/>
          </w:p>
        </w:tc>
      </w:tr>
      <w:tr>
        <w:trPr>
          <w:trHeight w:val="469"/>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r>
      <w:tr>
        <w:trPr>
          <w:trHeight w:val="719"/>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r>
      <w:tr>
        <w:trPr>
          <w:trHeight w:val="540"/>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ind w:left="43"/>
              <w:spacing w:before="156" w:line="440" w:lineRule="exact"/>
              <w:rPr>
                <w:rFonts w:hint="eastAsia" w:ascii="宋体" w:cs="宋体"/>
                <w:szCs w:val="21"/>
              </w:rPr>
            </w:pPr>
            <w:r>
              <w:rPr>
                <w:rFonts w:hint="eastAsia" w:ascii="宋体" w:cs="宋体"/>
                <w:szCs w:val="21"/>
              </w:rPr>
            </w:r>
            <w:r/>
          </w:p>
        </w:tc>
      </w:tr>
      <w:tr>
        <w:trPr>
          <w:trHeight w:val="440"/>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ind w:left="43"/>
              <w:spacing w:before="156" w:line="440" w:lineRule="exact"/>
              <w:rPr>
                <w:rFonts w:hint="eastAsia" w:ascii="宋体" w:cs="宋体"/>
                <w:szCs w:val="21"/>
              </w:rPr>
            </w:pPr>
            <w:r>
              <w:rPr>
                <w:rFonts w:hint="eastAsia" w:ascii="宋体" w:cs="宋体"/>
                <w:szCs w:val="21"/>
              </w:rPr>
            </w:r>
            <w:r/>
          </w:p>
        </w:tc>
      </w:tr>
      <w:tr>
        <w:trPr>
          <w:trHeight w:val="460"/>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ind w:left="43"/>
              <w:spacing w:before="156" w:line="440" w:lineRule="exact"/>
              <w:rPr>
                <w:rFonts w:hint="eastAsia" w:ascii="宋体" w:cs="宋体"/>
                <w:szCs w:val="21"/>
              </w:rPr>
            </w:pPr>
            <w:r>
              <w:rPr>
                <w:rFonts w:hint="eastAsia" w:ascii="宋体" w:cs="宋体"/>
                <w:szCs w:val="21"/>
              </w:rPr>
            </w:r>
            <w:r/>
          </w:p>
        </w:tc>
      </w:tr>
      <w:tr>
        <w:trPr>
          <w:trHeight w:val="820"/>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r>
      <w:tr>
        <w:trPr>
          <w:trHeight w:val="340"/>
        </w:trPr>
        <w:tc>
          <w:tcPr>
            <w:tcW w:w="69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275"/>
              <w:spacing w:before="156" w:line="440" w:lineRule="exact"/>
              <w:rPr>
                <w:rFonts w:hint="eastAsia" w:ascii="宋体" w:cs="宋体"/>
                <w:szCs w:val="21"/>
              </w:rPr>
            </w:pPr>
            <w:r>
              <w:rPr>
                <w:rFonts w:hint="eastAsia" w:ascii="宋体" w:cs="宋体"/>
                <w:szCs w:val="21"/>
              </w:rPr>
            </w:r>
            <w:r/>
          </w:p>
        </w:tc>
      </w:tr>
    </w:tbl>
    <w:p>
      <w:pPr>
        <w:pStyle w:val="1275"/>
        <w:spacing w:line="440" w:lineRule="exact"/>
        <w:rPr>
          <w:rFonts w:hint="eastAsia" w:ascii="宋体" w:cs="宋体"/>
          <w:sz w:val="24"/>
        </w:rPr>
      </w:pPr>
      <w:r>
        <w:rPr>
          <w:rFonts w:hint="eastAsia" w:ascii="宋体" w:cs="宋体"/>
          <w:sz w:val="24"/>
        </w:rPr>
      </w:r>
      <w:r/>
    </w:p>
    <w:p>
      <w:pPr>
        <w:pStyle w:val="1275"/>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注：1、投标人如对包括</w:t>
      </w:r>
      <w:r>
        <w:rPr>
          <w:rFonts w:hint="eastAsia" w:ascii="宋体" w:cs="宋体"/>
          <w:b/>
          <w:bCs/>
          <w:szCs w:val="21"/>
        </w:rPr>
        <w:t xml:space="preserve">服务期/交货期、质保期、服务要求、付款方式等</w:t>
      </w:r>
      <w:r>
        <w:rPr>
          <w:rFonts w:hint="eastAsia" w:ascii="宋体" w:cs="宋体"/>
          <w:szCs w:val="21"/>
        </w:rPr>
        <w:t xml:space="preserve">商务条款的响应有任何偏离，请在本表中详细填写；如不列出，则视为投标人完全同意招标文件的商务条款。</w:t>
      </w:r>
      <w:r>
        <w:rPr>
          <w:rFonts w:hint="eastAsia" w:ascii="宋体" w:cs="宋体"/>
          <w:szCs w:val="21"/>
        </w:rPr>
      </w:r>
      <w:r/>
    </w:p>
    <w:p>
      <w:pPr>
        <w:pStyle w:val="1275"/>
        <w:ind w:left="420"/>
        <w:spacing w:line="440" w:lineRule="exact"/>
        <w:rPr>
          <w:rFonts w:hint="eastAsia" w:ascii="宋体" w:cs="宋体"/>
          <w:szCs w:val="21"/>
        </w:rPr>
      </w:pPr>
      <w:r>
        <w:rPr>
          <w:rFonts w:hint="eastAsia" w:ascii="宋体" w:cs="宋体"/>
          <w:szCs w:val="21"/>
        </w:rPr>
        <w:t xml:space="preserve">2、“投标人的承诺或说明”栏请注明“响应/正偏离/负偏离”，正偏离指投标人的响应高于招标文件要求，负偏离指投标人的响应低于招标文件要求。</w:t>
      </w:r>
      <w:r>
        <w:rPr>
          <w:rFonts w:hint="eastAsia" w:ascii="宋体" w:cs="宋体"/>
          <w:szCs w:val="21"/>
        </w:rPr>
      </w:r>
      <w:r/>
    </w:p>
    <w:p>
      <w:pPr>
        <w:pStyle w:val="1275"/>
        <w:ind w:firstLine="420"/>
        <w:spacing w:line="440" w:lineRule="exact"/>
        <w:rPr>
          <w:rFonts w:hint="eastAsia" w:ascii="宋体" w:cs="宋体"/>
          <w:szCs w:val="21"/>
        </w:rPr>
      </w:pPr>
      <w:r>
        <w:rPr>
          <w:rFonts w:hint="eastAsia" w:ascii="宋体" w:cs="宋体"/>
          <w:szCs w:val="21"/>
        </w:rPr>
        <w:t xml:space="preserve">3、如果行数不够，请自行增加。</w:t>
      </w:r>
      <w:r>
        <w:rPr>
          <w:rFonts w:hint="eastAsia" w:ascii="宋体" w:cs="宋体"/>
          <w:szCs w:val="21"/>
        </w:rPr>
      </w:r>
      <w:r/>
    </w:p>
    <w:p>
      <w:pPr>
        <w:pStyle w:val="1275"/>
        <w:ind w:firstLine="5494"/>
        <w:spacing w:line="440" w:lineRule="exact"/>
        <w:rPr>
          <w:rFonts w:hint="eastAsia" w:ascii="宋体" w:cs="宋体"/>
          <w:sz w:val="24"/>
        </w:rPr>
      </w:pPr>
      <w:r>
        <w:rPr>
          <w:rFonts w:hint="eastAsia" w:ascii="宋体" w:cs="宋体"/>
          <w:sz w:val="24"/>
        </w:rPr>
      </w:r>
      <w:r/>
    </w:p>
    <w:p>
      <w:pPr>
        <w:pStyle w:val="1275"/>
        <w:spacing w:line="440" w:lineRule="exact"/>
        <w:rPr>
          <w:rFonts w:hint="eastAsia" w:ascii="宋体" w:cs="宋体"/>
          <w:sz w:val="24"/>
        </w:rPr>
      </w:pPr>
      <w:r>
        <w:rPr>
          <w:rFonts w:hint="eastAsia" w:ascii="宋体" w:cs="宋体"/>
          <w:sz w:val="24"/>
        </w:rPr>
      </w:r>
      <w:r/>
    </w:p>
    <w:p>
      <w:pPr>
        <w:pStyle w:val="1275"/>
        <w:ind w:right="-334"/>
        <w:spacing w:line="440" w:lineRule="exact"/>
        <w:rPr>
          <w:rFonts w:hint="eastAsia" w:ascii="宋体" w:cs="宋体"/>
          <w:sz w:val="24"/>
        </w:rPr>
      </w:pPr>
      <w:r>
        <w:rPr>
          <w:rFonts w:hint="eastAsia" w:ascii="宋体" w:cs="宋体"/>
          <w:sz w:val="24"/>
        </w:rPr>
      </w:r>
      <w:r/>
    </w:p>
    <w:p>
      <w:pPr>
        <w:pStyle w:val="1275"/>
        <w:ind w:right="-334"/>
        <w:spacing w:line="440" w:lineRule="exact"/>
        <w:rPr>
          <w:rFonts w:hint="eastAsia" w:ascii="宋体" w:cs="宋体"/>
          <w:sz w:val="24"/>
        </w:rPr>
      </w:pPr>
      <w:r>
        <w:rPr>
          <w:rFonts w:hint="eastAsia" w:ascii="宋体" w:cs="宋体"/>
          <w:sz w:val="24"/>
        </w:rPr>
      </w:r>
      <w:r/>
    </w:p>
    <w:p>
      <w:pPr>
        <w:pStyle w:val="1275"/>
        <w:ind w:right="-334"/>
        <w:spacing w:line="440" w:lineRule="exact"/>
        <w:rPr>
          <w:rFonts w:hint="eastAsia" w:ascii="宋体" w:cs="宋体"/>
          <w:sz w:val="24"/>
        </w:rPr>
      </w:pPr>
      <w:r>
        <w:rPr>
          <w:rFonts w:hint="eastAsia" w:ascii="宋体" w:cs="宋体"/>
          <w:sz w:val="24"/>
        </w:rPr>
      </w:r>
      <w:r/>
    </w:p>
    <w:p>
      <w:pPr>
        <w:pStyle w:val="1275"/>
        <w:ind w:right="-334"/>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275"/>
        <w:spacing w:after="156" w:line="440" w:lineRule="exact"/>
        <w:rPr>
          <w:rFonts w:hint="eastAsia" w:ascii="宋体" w:cs="宋体"/>
          <w:b/>
          <w:bCs/>
          <w:sz w:val="24"/>
          <w:szCs w:val="22"/>
        </w:rPr>
        <w:outlineLvl w:val="1"/>
      </w:pPr>
      <w:r/>
      <w:bookmarkStart w:id="305" w:name="_Toc6138"/>
      <w:r/>
      <w:bookmarkStart w:id="306" w:name="_Toc7213"/>
      <w:r/>
      <w:bookmarkStart w:id="307" w:name="_Toc26466"/>
      <w:r>
        <w:rPr>
          <w:rFonts w:hint="eastAsia" w:ascii="宋体" w:cs="宋体"/>
          <w:b/>
          <w:bCs/>
          <w:sz w:val="24"/>
          <w:szCs w:val="22"/>
        </w:rPr>
        <w:t xml:space="preserve">附件五 技术条款偏离表</w:t>
      </w:r>
      <w:bookmarkEnd w:id="305"/>
      <w:r/>
      <w:bookmarkEnd w:id="306"/>
      <w:r/>
      <w:bookmarkEnd w:id="307"/>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trPr>
        <w:tc>
          <w:tcPr>
            <w:tcW w:w="675" w:type="dxa"/>
            <w:vAlign w:val="top"/>
            <w:vMerge w:val="restart"/>
            <w:textDirection w:val="lrTb"/>
            <w:noWrap w:val="false"/>
          </w:tcPr>
          <w:p>
            <w:pPr>
              <w:pStyle w:val="1275"/>
              <w:jc w:val="center"/>
              <w:spacing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gridSpan w:val="2"/>
            <w:tcW w:w="2977" w:type="dxa"/>
            <w:vAlign w:val="top"/>
            <w:textDirection w:val="lrTb"/>
            <w:noWrap w:val="false"/>
          </w:tcPr>
          <w:p>
            <w:pPr>
              <w:pStyle w:val="1275"/>
              <w:jc w:val="center"/>
              <w:spacing w:line="440" w:lineRule="exact"/>
              <w:rPr>
                <w:rFonts w:hint="eastAsia" w:ascii="宋体" w:cs="宋体"/>
                <w:szCs w:val="21"/>
              </w:rPr>
            </w:pPr>
            <w:r>
              <w:rPr>
                <w:rFonts w:hint="eastAsia" w:ascii="宋体" w:cs="宋体"/>
                <w:szCs w:val="21"/>
              </w:rPr>
              <w:t xml:space="preserve">招标文件</w:t>
            </w:r>
            <w:r>
              <w:rPr>
                <w:rFonts w:hint="eastAsia" w:ascii="宋体" w:cs="宋体"/>
                <w:szCs w:val="21"/>
              </w:rPr>
            </w:r>
            <w:r/>
          </w:p>
        </w:tc>
        <w:tc>
          <w:tcPr>
            <w:tcW w:w="1843" w:type="dxa"/>
            <w:vAlign w:val="top"/>
            <w:textDirection w:val="lrTb"/>
            <w:noWrap w:val="false"/>
          </w:tcPr>
          <w:p>
            <w:pPr>
              <w:pStyle w:val="1275"/>
              <w:jc w:val="center"/>
              <w:spacing w:line="440" w:lineRule="exact"/>
              <w:rPr>
                <w:rFonts w:hint="eastAsia" w:ascii="宋体" w:cs="宋体"/>
                <w:szCs w:val="21"/>
              </w:rPr>
            </w:pPr>
            <w:r>
              <w:rPr>
                <w:rFonts w:hint="eastAsia" w:ascii="宋体" w:cs="宋体"/>
                <w:szCs w:val="21"/>
              </w:rPr>
              <w:t xml:space="preserve">投标文件</w:t>
            </w:r>
            <w:r>
              <w:rPr>
                <w:rFonts w:hint="eastAsia" w:ascii="宋体" w:cs="宋体"/>
                <w:szCs w:val="21"/>
              </w:rPr>
            </w:r>
            <w:r/>
          </w:p>
        </w:tc>
        <w:tc>
          <w:tcPr>
            <w:tcW w:w="1843" w:type="dxa"/>
            <w:vAlign w:val="top"/>
            <w:vMerge w:val="restart"/>
            <w:textDirection w:val="lrTb"/>
            <w:noWrap w:val="false"/>
          </w:tcPr>
          <w:p>
            <w:pPr>
              <w:pStyle w:val="1275"/>
              <w:jc w:val="center"/>
              <w:spacing w:line="440" w:lineRule="exact"/>
              <w:rPr>
                <w:rFonts w:hint="eastAsia" w:ascii="宋体" w:cs="宋体"/>
                <w:szCs w:val="21"/>
              </w:rPr>
            </w:pPr>
            <w:r>
              <w:rPr>
                <w:rFonts w:hint="eastAsia" w:ascii="宋体" w:cs="宋体"/>
                <w:szCs w:val="21"/>
              </w:rPr>
            </w:r>
            <w:r/>
          </w:p>
          <w:p>
            <w:pPr>
              <w:pStyle w:val="1275"/>
              <w:jc w:val="center"/>
              <w:spacing w:line="440" w:lineRule="exact"/>
              <w:rPr>
                <w:rFonts w:hint="eastAsia" w:ascii="宋体" w:cs="宋体"/>
                <w:szCs w:val="21"/>
              </w:rPr>
            </w:pPr>
            <w:r>
              <w:rPr>
                <w:rFonts w:hint="eastAsia" w:ascii="宋体" w:cs="宋体"/>
                <w:szCs w:val="21"/>
              </w:rPr>
              <w:t xml:space="preserve">说明</w:t>
            </w:r>
            <w:r>
              <w:rPr>
                <w:rFonts w:hint="eastAsia" w:ascii="宋体" w:cs="宋体"/>
                <w:szCs w:val="21"/>
              </w:rPr>
            </w:r>
            <w:r/>
          </w:p>
        </w:tc>
        <w:tc>
          <w:tcPr>
            <w:tcW w:w="2076" w:type="dxa"/>
            <w:vAlign w:val="top"/>
            <w:vMerge w:val="restart"/>
            <w:textDirection w:val="lrTb"/>
            <w:noWrap w:val="false"/>
          </w:tcPr>
          <w:p>
            <w:pPr>
              <w:pStyle w:val="1275"/>
              <w:jc w:val="center"/>
              <w:spacing w:line="440" w:lineRule="exact"/>
              <w:rPr>
                <w:rFonts w:hint="eastAsia" w:ascii="宋体" w:cs="宋体"/>
                <w:szCs w:val="21"/>
              </w:rPr>
            </w:pPr>
            <w:r>
              <w:rPr>
                <w:rFonts w:hint="eastAsia" w:ascii="宋体" w:hAnsi="宋体" w:cs="宋体"/>
                <w:szCs w:val="21"/>
              </w:rPr>
              <w:t xml:space="preserve">“★”和“▲”技术规格响应证明文件的具体位置</w:t>
            </w:r>
            <w:r>
              <w:rPr>
                <w:rFonts w:hint="eastAsia" w:ascii="宋体" w:cs="宋体"/>
                <w:szCs w:val="21"/>
              </w:rPr>
            </w:r>
            <w:r/>
          </w:p>
        </w:tc>
      </w:tr>
      <w:tr>
        <w:trPr>
          <w:cantSplit/>
        </w:trPr>
        <w:tc>
          <w:tcPr>
            <w:tcW w:w="675" w:type="dxa"/>
            <w:vAlign w:val="center"/>
            <w:vMerge w:val="continue"/>
            <w:textDirection w:val="lrTb"/>
            <w:noWrap w:val="false"/>
          </w:tcPr>
          <w:p>
            <w:pPr>
              <w:pStyle w:val="1275"/>
            </w:pPr>
            <w:r/>
            <w:r/>
          </w:p>
        </w:tc>
        <w:tc>
          <w:tcPr>
            <w:tcW w:w="1134" w:type="dxa"/>
            <w:vAlign w:val="center"/>
            <w:textDirection w:val="lrTb"/>
            <w:noWrap w:val="false"/>
          </w:tcPr>
          <w:p>
            <w:pPr>
              <w:pStyle w:val="1275"/>
              <w:jc w:val="center"/>
              <w:spacing w:line="440" w:lineRule="exact"/>
              <w:rPr>
                <w:rFonts w:hint="eastAsia" w:ascii="宋体" w:cs="宋体"/>
                <w:szCs w:val="21"/>
              </w:rPr>
            </w:pPr>
            <w:r>
              <w:rPr>
                <w:rFonts w:hint="eastAsia" w:ascii="宋体" w:cs="宋体"/>
                <w:szCs w:val="21"/>
              </w:rPr>
              <w:t xml:space="preserve">条目号</w:t>
            </w:r>
            <w:r>
              <w:rPr>
                <w:rFonts w:hint="eastAsia" w:ascii="宋体" w:cs="宋体"/>
                <w:szCs w:val="21"/>
              </w:rPr>
            </w:r>
            <w:r/>
          </w:p>
        </w:tc>
        <w:tc>
          <w:tcPr>
            <w:tcW w:w="1843" w:type="dxa"/>
            <w:vAlign w:val="center"/>
            <w:textDirection w:val="lrTb"/>
            <w:noWrap w:val="false"/>
          </w:tcPr>
          <w:p>
            <w:pPr>
              <w:pStyle w:val="1275"/>
              <w:jc w:val="center"/>
              <w:spacing w:line="440" w:lineRule="exact"/>
              <w:rPr>
                <w:rFonts w:hint="eastAsia" w:ascii="宋体" w:cs="宋体"/>
                <w:szCs w:val="21"/>
              </w:rPr>
            </w:pPr>
            <w:r>
              <w:rPr>
                <w:rFonts w:hint="eastAsia" w:ascii="宋体" w:cs="宋体"/>
                <w:szCs w:val="21"/>
              </w:rPr>
              <w:t xml:space="preserve">采购要求规格</w:t>
            </w:r>
            <w:r>
              <w:rPr>
                <w:rFonts w:hint="eastAsia" w:ascii="宋体" w:cs="宋体"/>
                <w:szCs w:val="21"/>
              </w:rPr>
            </w:r>
            <w:r/>
          </w:p>
        </w:tc>
        <w:tc>
          <w:tcPr>
            <w:tcW w:w="1843" w:type="dxa"/>
            <w:vAlign w:val="center"/>
            <w:textDirection w:val="lrTb"/>
            <w:noWrap w:val="false"/>
          </w:tcPr>
          <w:p>
            <w:pPr>
              <w:pStyle w:val="1275"/>
              <w:jc w:val="center"/>
              <w:spacing w:line="440" w:lineRule="exact"/>
              <w:rPr>
                <w:rFonts w:hint="eastAsia" w:ascii="宋体" w:cs="宋体"/>
                <w:szCs w:val="21"/>
              </w:rPr>
            </w:pPr>
            <w:r>
              <w:rPr>
                <w:rFonts w:hint="eastAsia" w:ascii="宋体" w:cs="宋体"/>
                <w:szCs w:val="21"/>
              </w:rPr>
              <w:t xml:space="preserve">响应具体情况</w:t>
            </w:r>
            <w:r>
              <w:rPr>
                <w:rFonts w:hint="eastAsia" w:ascii="宋体" w:cs="宋体"/>
                <w:szCs w:val="21"/>
              </w:rPr>
            </w:r>
            <w:r/>
          </w:p>
        </w:tc>
        <w:tc>
          <w:tcPr>
            <w:tcW w:w="1843" w:type="dxa"/>
            <w:vAlign w:val="top"/>
            <w:vMerge w:val="continue"/>
            <w:textDirection w:val="lrTb"/>
            <w:noWrap w:val="false"/>
          </w:tcPr>
          <w:p>
            <w:pPr>
              <w:pStyle w:val="1275"/>
            </w:pPr>
            <w:r/>
            <w:r/>
          </w:p>
        </w:tc>
        <w:tc>
          <w:tcPr>
            <w:tcW w:w="2076" w:type="dxa"/>
            <w:vAlign w:val="top"/>
            <w:vMerge w:val="continue"/>
            <w:textDirection w:val="lrTb"/>
            <w:noWrap w:val="false"/>
          </w:tcPr>
          <w:p>
            <w:pPr>
              <w:pStyle w:val="1275"/>
            </w:p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275"/>
              <w:spacing w:line="440" w:lineRule="exact"/>
              <w:rPr>
                <w:rFonts w:hint="eastAsia" w:ascii="宋体" w:cs="宋体"/>
                <w:szCs w:val="21"/>
              </w:rPr>
            </w:pPr>
            <w:r>
              <w:rPr>
                <w:rFonts w:hint="eastAsia" w:ascii="宋体" w:cs="宋体"/>
                <w:szCs w:val="21"/>
              </w:rPr>
            </w:r>
            <w:r/>
          </w:p>
        </w:tc>
      </w:tr>
    </w:tbl>
    <w:p>
      <w:pPr>
        <w:pStyle w:val="1275"/>
        <w:spacing w:line="440" w:lineRule="exact"/>
        <w:rPr>
          <w:rFonts w:hint="eastAsia" w:ascii="宋体" w:cs="宋体"/>
          <w:sz w:val="24"/>
        </w:rPr>
      </w:pPr>
      <w:r>
        <w:rPr>
          <w:rFonts w:hint="eastAsia" w:ascii="宋体" w:cs="宋体"/>
          <w:sz w:val="24"/>
        </w:rPr>
      </w:r>
      <w:r/>
    </w:p>
    <w:p>
      <w:pPr>
        <w:pStyle w:val="1275"/>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288"/>
        <w:spacing w:line="360" w:lineRule="auto"/>
        <w:rPr>
          <w:rFonts w:hint="eastAsia" w:ascii="宋体" w:cs="宋体"/>
          <w:szCs w:val="21"/>
        </w:rPr>
      </w:pPr>
      <w:r>
        <w:rPr>
          <w:rFonts w:hint="eastAsia" w:ascii="宋体" w:cs="宋体"/>
          <w:szCs w:val="21"/>
        </w:rPr>
        <w:t xml:space="preserve">注：1、投标人应对招标文件第四章招标技术规格及要求的内容给予</w:t>
      </w:r>
      <w:r>
        <w:rPr>
          <w:rFonts w:hint="eastAsia" w:ascii="宋体" w:cs="宋体"/>
          <w:b/>
          <w:bCs/>
          <w:szCs w:val="21"/>
        </w:rPr>
        <w:t xml:space="preserve">逐条响应</w:t>
      </w:r>
      <w:r>
        <w:rPr>
          <w:rFonts w:hint="eastAsia" w:ascii="宋体" w:cs="宋体"/>
          <w:szCs w:val="21"/>
        </w:rPr>
        <w:t xml:space="preserve">，</w:t>
      </w:r>
      <w:r>
        <w:rPr>
          <w:rFonts w:hint="eastAsia" w:ascii="宋体" w:cs="宋体"/>
          <w:b/>
          <w:bCs/>
          <w:color w:val="ff0000"/>
        </w:rPr>
        <w:t xml:space="preserve">若漏项或不逐条应答视为负偏离。</w:t>
      </w:r>
      <w:r>
        <w:rPr>
          <w:rFonts w:hint="eastAsia" w:ascii="宋体" w:cs="宋体"/>
          <w:szCs w:val="21"/>
        </w:rPr>
        <w:t xml:space="preserve">以投标产品和服务所能达到的内容予以填写，而</w:t>
      </w:r>
      <w:r>
        <w:rPr>
          <w:rFonts w:hint="eastAsia" w:ascii="宋体" w:cs="宋体"/>
          <w:b/>
          <w:bCs/>
          <w:szCs w:val="21"/>
        </w:rPr>
        <w:t xml:space="preserve">不应通过简单拷贝招标文件技术要求作为响应内容</w:t>
      </w:r>
      <w:r>
        <w:rPr>
          <w:rFonts w:hint="eastAsia" w:ascii="宋体" w:hAnsi="宋体" w:cs="宋体"/>
          <w:b/>
          <w:bCs/>
          <w:color w:val="000000"/>
          <w:szCs w:val="21"/>
        </w:rPr>
        <w:t xml:space="preserve">，如完全复制招标文件内容，评委有权按不响应处理，情况恶劣时将做无效投标处理。 </w:t>
      </w:r>
      <w:r>
        <w:rPr>
          <w:rFonts w:hint="eastAsia" w:ascii="宋体" w:cs="宋体"/>
          <w:szCs w:val="21"/>
        </w:rPr>
      </w:r>
      <w:r/>
    </w:p>
    <w:p>
      <w:pPr>
        <w:pStyle w:val="1275"/>
        <w:ind w:firstLine="420"/>
        <w:spacing w:line="440" w:lineRule="exact"/>
        <w:rPr>
          <w:rFonts w:hint="eastAsia" w:ascii="宋体" w:cs="宋体"/>
          <w:szCs w:val="21"/>
        </w:rPr>
      </w:pPr>
      <w:r>
        <w:rPr>
          <w:rFonts w:hint="eastAsia" w:ascii="宋体" w:cs="宋体"/>
          <w:szCs w:val="21"/>
        </w:rPr>
        <w:t xml:space="preserve">2、投标文件“响应具体情况",指所投产品的技术应答情况。“说明”栏请注明“响应/正偏离/负偏离”，并且针对标注</w:t>
      </w:r>
      <w:r>
        <w:rPr>
          <w:rFonts w:hint="eastAsia" w:ascii="宋体" w:cs="宋体"/>
          <w:color w:val="ff0000"/>
          <w:szCs w:val="21"/>
        </w:rPr>
        <w:t xml:space="preserve">“★”和“▲”技术参数响应</w:t>
      </w:r>
      <w:r>
        <w:rPr>
          <w:rFonts w:hint="eastAsia" w:ascii="宋体" w:cs="宋体"/>
          <w:szCs w:val="21"/>
        </w:rPr>
        <w:t xml:space="preserve">的证明文件在投标文件中的页码及具体位置。</w:t>
      </w:r>
      <w:r>
        <w:rPr>
          <w:rFonts w:hint="eastAsia" w:ascii="宋体" w:cs="宋体"/>
          <w:szCs w:val="21"/>
        </w:rPr>
      </w:r>
      <w:r/>
    </w:p>
    <w:p>
      <w:pPr>
        <w:pStyle w:val="1275"/>
        <w:ind w:firstLine="420"/>
        <w:spacing w:line="440" w:lineRule="exact"/>
        <w:rPr>
          <w:rFonts w:hint="eastAsia" w:ascii="宋体" w:cs="宋体"/>
          <w:szCs w:val="21"/>
        </w:rPr>
      </w:pPr>
      <w:r>
        <w:rPr>
          <w:rFonts w:hint="eastAsia" w:ascii="宋体" w:cs="宋体"/>
          <w:szCs w:val="21"/>
        </w:rPr>
        <w:t xml:space="preserve">3、</w:t>
      </w:r>
      <w:r>
        <w:rPr>
          <w:rFonts w:hint="eastAsia" w:ascii="宋体" w:cs="宋体"/>
          <w:b/>
          <w:bCs/>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cs="宋体"/>
          <w:szCs w:val="21"/>
        </w:rPr>
      </w:r>
      <w:r/>
    </w:p>
    <w:p>
      <w:pPr>
        <w:pStyle w:val="1275"/>
        <w:ind w:firstLine="420"/>
        <w:spacing w:line="440" w:lineRule="exact"/>
        <w:rPr>
          <w:rFonts w:hint="eastAsia" w:ascii="宋体" w:cs="宋体"/>
          <w:szCs w:val="21"/>
        </w:rPr>
      </w:pPr>
      <w:r>
        <w:rPr>
          <w:rFonts w:hint="eastAsia" w:ascii="宋体" w:cs="宋体"/>
          <w:szCs w:val="21"/>
        </w:rPr>
        <w:t xml:space="preserve">4、如果行数不够，请自行增加。</w:t>
      </w:r>
      <w:r>
        <w:rPr>
          <w:rFonts w:hint="eastAsia" w:ascii="宋体" w:cs="宋体"/>
          <w:szCs w:val="21"/>
        </w:rPr>
      </w:r>
      <w:r/>
    </w:p>
    <w:p>
      <w:pPr>
        <w:pStyle w:val="1275"/>
        <w:spacing w:after="156" w:line="440" w:lineRule="exact"/>
        <w:rPr>
          <w:rFonts w:hint="eastAsia" w:ascii="宋体" w:cs="宋体"/>
          <w:b/>
          <w:bCs/>
          <w:sz w:val="24"/>
          <w:szCs w:val="22"/>
        </w:rPr>
        <w:outlineLvl w:val="1"/>
      </w:pPr>
      <w:r/>
      <w:bookmarkStart w:id="308" w:name="_Toc3639"/>
      <w:r/>
      <w:bookmarkStart w:id="309" w:name="_Toc22252"/>
      <w:r/>
      <w:bookmarkStart w:id="310" w:name="_Toc30495"/>
      <w:r>
        <w:rPr>
          <w:rFonts w:hint="eastAsia" w:ascii="宋体" w:cs="宋体"/>
          <w:b/>
          <w:bCs/>
          <w:sz w:val="24"/>
          <w:szCs w:val="22"/>
        </w:rPr>
        <w:t xml:space="preserve">附件六 政府采购政策</w:t>
      </w:r>
      <w:bookmarkEnd w:id="308"/>
      <w:r/>
      <w:bookmarkEnd w:id="309"/>
      <w:r/>
      <w:bookmarkEnd w:id="310"/>
      <w:r>
        <w:rPr>
          <w:rFonts w:hint="eastAsia" w:ascii="宋体" w:cs="宋体"/>
          <w:b/>
          <w:bCs/>
          <w:sz w:val="24"/>
          <w:szCs w:val="22"/>
        </w:rPr>
      </w:r>
      <w:r/>
    </w:p>
    <w:p>
      <w:pPr>
        <w:pStyle w:val="1313"/>
        <w:ind w:firstLine="301"/>
        <w:jc w:val="center"/>
      </w:pPr>
      <w:r>
        <w:rPr>
          <w:rFonts w:hint="eastAsia" w:cs="宋体"/>
          <w:b/>
          <w:color w:val="ff0000"/>
          <w:sz w:val="30"/>
          <w:szCs w:val="30"/>
          <w:lang w:bidi="ar"/>
        </w:rPr>
        <w:t xml:space="preserve">【不属于小微企业的无需填写、递交】</w:t>
      </w:r>
      <w:r/>
    </w:p>
    <w:p>
      <w:pPr>
        <w:pStyle w:val="1275"/>
        <w:ind w:left="425"/>
        <w:jc w:val="center"/>
        <w:spacing w:line="360" w:lineRule="auto"/>
        <w:widowControl/>
        <w:rPr>
          <w:b/>
          <w:bCs/>
          <w:sz w:val="24"/>
          <w:szCs w:val="24"/>
        </w:rPr>
        <w:outlineLvl w:val="2"/>
      </w:pPr>
      <w:r/>
      <w:bookmarkStart w:id="311" w:name="_Toc22003"/>
      <w:r/>
      <w:bookmarkStart w:id="312" w:name="_Toc29485"/>
      <w:r>
        <w:rPr>
          <w:rFonts w:hint="eastAsia" w:ascii="宋体" w:cs="宋体"/>
          <w:b/>
          <w:bCs/>
          <w:szCs w:val="21"/>
        </w:rPr>
        <w:t xml:space="preserve">（一）</w:t>
      </w:r>
      <w:bookmarkEnd w:id="311"/>
      <w:r>
        <w:rPr>
          <w:b/>
          <w:bCs/>
          <w:sz w:val="24"/>
          <w:szCs w:val="24"/>
        </w:rPr>
        <w:t xml:space="preserve">中小企业声明函（货物）</w:t>
      </w:r>
      <w:bookmarkEnd w:id="312"/>
      <w:r>
        <w:rPr>
          <w:b/>
          <w:bCs/>
          <w:sz w:val="24"/>
          <w:szCs w:val="24"/>
        </w:rPr>
      </w:r>
      <w:r/>
    </w:p>
    <w:p>
      <w:pPr>
        <w:pStyle w:val="1275"/>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75"/>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5"/>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5"/>
        <w:ind w:firstLine="688"/>
        <w:spacing w:before="132" w:line="360" w:lineRule="auto"/>
        <w:rPr>
          <w:szCs w:val="21"/>
        </w:rPr>
      </w:pPr>
      <w:r>
        <w:rPr>
          <w:spacing w:val="-18"/>
          <w:position w:val="-7"/>
          <w:szCs w:val="21"/>
        </w:rPr>
        <w:t xml:space="preserve">……</w:t>
      </w:r>
      <w:r>
        <w:rPr>
          <w:szCs w:val="21"/>
        </w:rPr>
      </w:r>
      <w:r/>
    </w:p>
    <w:p>
      <w:pPr>
        <w:pStyle w:val="1275"/>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75"/>
        <w:ind w:firstLine="594"/>
        <w:spacing w:line="360" w:lineRule="auto"/>
        <w:rPr>
          <w:spacing w:val="-6"/>
          <w:szCs w:val="21"/>
        </w:rPr>
      </w:pPr>
      <w:r>
        <w:rPr>
          <w:spacing w:val="-6"/>
          <w:szCs w:val="21"/>
        </w:rPr>
      </w:r>
      <w:r/>
    </w:p>
    <w:p>
      <w:pPr>
        <w:pStyle w:val="1275"/>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75"/>
        <w:ind w:right="1560" w:firstLine="444"/>
        <w:jc w:val="center"/>
        <w:spacing w:line="360" w:lineRule="auto"/>
        <w:tabs>
          <w:tab w:val="left" w:pos="4860" w:leader="none"/>
        </w:tabs>
        <w:rPr>
          <w:spacing w:val="6"/>
          <w:szCs w:val="21"/>
        </w:rPr>
      </w:pPr>
      <w:r>
        <w:rPr>
          <w:spacing w:val="6"/>
          <w:szCs w:val="21"/>
        </w:rPr>
      </w:r>
      <w:r/>
    </w:p>
    <w:p>
      <w:pPr>
        <w:pStyle w:val="1275"/>
        <w:ind w:right="1560" w:firstLine="444"/>
        <w:jc w:val="center"/>
        <w:spacing w:line="360" w:lineRule="auto"/>
        <w:tabs>
          <w:tab w:val="left" w:pos="4860" w:leader="none"/>
        </w:tabs>
        <w:rPr>
          <w:spacing w:val="6"/>
          <w:szCs w:val="21"/>
        </w:rPr>
      </w:pPr>
      <w:r>
        <w:rPr>
          <w:spacing w:val="6"/>
          <w:szCs w:val="21"/>
        </w:rPr>
      </w:r>
      <w:r/>
    </w:p>
    <w:p>
      <w:pPr>
        <w:pStyle w:val="1275"/>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75"/>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75"/>
        <w:spacing w:line="360" w:lineRule="auto"/>
        <w:rPr>
          <w:b/>
          <w:bCs/>
          <w:szCs w:val="21"/>
        </w:rPr>
      </w:pPr>
      <w:r>
        <w:rPr>
          <w:b/>
          <w:bCs/>
          <w:szCs w:val="21"/>
        </w:rPr>
        <w:t xml:space="preserve">备注：</w:t>
      </w:r>
      <w:r>
        <w:rPr>
          <w:b/>
          <w:bCs/>
          <w:szCs w:val="21"/>
        </w:rPr>
      </w:r>
      <w:r/>
    </w:p>
    <w:p>
      <w:pPr>
        <w:pStyle w:val="1275"/>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75"/>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75"/>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75"/>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75"/>
        <w:ind w:firstLine="422"/>
        <w:spacing w:line="360" w:lineRule="auto"/>
        <w:rPr>
          <w:rFonts w:hint="eastAsia" w:ascii="宋体" w:cs="宋体"/>
          <w:b/>
          <w:bCs/>
          <w:szCs w:val="21"/>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rFonts w:hint="eastAsia" w:ascii="宋体" w:cs="宋体"/>
          <w:b/>
          <w:bCs/>
          <w:szCs w:val="21"/>
        </w:rPr>
      </w:r>
      <w:r/>
    </w:p>
    <w:p>
      <w:pPr>
        <w:pStyle w:val="1275"/>
        <w:jc w:val="center"/>
        <w:spacing w:line="360" w:lineRule="auto"/>
        <w:rPr>
          <w:rFonts w:hint="eastAsia" w:ascii="宋体" w:cs="宋体"/>
          <w:b/>
          <w:bCs/>
          <w:szCs w:val="21"/>
        </w:rPr>
        <w:outlineLvl w:val="2"/>
      </w:pPr>
      <w:r/>
      <w:bookmarkStart w:id="313" w:name="_Toc17455"/>
      <w:r/>
      <w:bookmarkStart w:id="314" w:name="_Toc21785"/>
      <w:r/>
      <w:bookmarkStart w:id="315" w:name="_Toc17686"/>
      <w:r/>
      <w:bookmarkStart w:id="316" w:name="_Toc8740"/>
      <w:r>
        <w:rPr>
          <w:rFonts w:hint="eastAsia" w:ascii="宋体" w:cs="宋体"/>
          <w:b/>
          <w:bCs/>
          <w:szCs w:val="21"/>
        </w:rPr>
        <w:t xml:space="preserve">（二）残疾人福利性单位声明函</w:t>
      </w:r>
      <w:bookmarkEnd w:id="313"/>
      <w:r/>
      <w:bookmarkEnd w:id="314"/>
      <w:r/>
      <w:bookmarkEnd w:id="315"/>
      <w:r/>
      <w:bookmarkEnd w:id="316"/>
      <w:r>
        <w:rPr>
          <w:rFonts w:hint="eastAsia" w:ascii="宋体" w:cs="宋体"/>
          <w:b/>
          <w:bCs/>
          <w:szCs w:val="21"/>
        </w:rPr>
      </w:r>
      <w:r/>
    </w:p>
    <w:p>
      <w:pPr>
        <w:pStyle w:val="1275"/>
        <w:ind w:right="178"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cs="宋体"/>
          <w:spacing w:val="6"/>
          <w:szCs w:val="21"/>
        </w:rPr>
      </w:r>
      <w:r/>
    </w:p>
    <w:p>
      <w:pPr>
        <w:pStyle w:val="1275"/>
        <w:ind w:right="1560"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本单位对上述声明的真实性负责。如有虚假，将依法承担相应责任。</w:t>
      </w:r>
      <w:r>
        <w:rPr>
          <w:rFonts w:hint="eastAsia" w:ascii="宋体" w:cs="宋体"/>
          <w:spacing w:val="6"/>
          <w:szCs w:val="21"/>
        </w:rPr>
      </w:r>
      <w:r/>
    </w:p>
    <w:p>
      <w:pPr>
        <w:pStyle w:val="1275"/>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r>
      <w:r/>
    </w:p>
    <w:p>
      <w:pPr>
        <w:pStyle w:val="1275"/>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t xml:space="preserve">单位名称（盖章）：</w:t>
      </w:r>
      <w:r>
        <w:rPr>
          <w:rFonts w:hint="eastAsia" w:ascii="宋体" w:cs="宋体"/>
          <w:spacing w:val="6"/>
          <w:szCs w:val="21"/>
        </w:rPr>
      </w:r>
      <w:r/>
    </w:p>
    <w:p>
      <w:pPr>
        <w:pStyle w:val="1275"/>
        <w:ind w:right="1560" w:firstLine="444"/>
        <w:jc w:val="center"/>
        <w:spacing w:line="360" w:lineRule="auto"/>
        <w:tabs>
          <w:tab w:val="left" w:pos="4860" w:leader="none"/>
        </w:tabs>
        <w:rPr>
          <w:rFonts w:hint="eastAsia" w:ascii="宋体" w:cs="宋体"/>
          <w:spacing w:val="6"/>
          <w:sz w:val="24"/>
          <w:szCs w:val="24"/>
        </w:rPr>
      </w:pPr>
      <w:r>
        <w:rPr>
          <w:rFonts w:hint="eastAsia" w:ascii="宋体" w:cs="宋体"/>
          <w:spacing w:val="6"/>
          <w:szCs w:val="21"/>
        </w:rPr>
        <w:t xml:space="preserve">日 期： </w:t>
      </w:r>
      <w:r>
        <w:rPr>
          <w:rFonts w:hint="eastAsia" w:ascii="宋体" w:cs="宋体"/>
          <w:spacing w:val="6"/>
          <w:sz w:val="24"/>
          <w:szCs w:val="24"/>
        </w:rPr>
        <w:t xml:space="preserve">   </w:t>
      </w:r>
      <w:r>
        <w:rPr>
          <w:rFonts w:hint="eastAsia" w:ascii="宋体" w:cs="宋体"/>
          <w:spacing w:val="6"/>
          <w:sz w:val="24"/>
          <w:szCs w:val="24"/>
        </w:rPr>
      </w:r>
      <w:r/>
    </w:p>
    <w:p>
      <w:pPr>
        <w:pStyle w:val="1275"/>
        <w:ind w:right="1560" w:firstLine="504"/>
        <w:jc w:val="center"/>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1275"/>
        <w:jc w:val="center"/>
        <w:spacing w:line="360" w:lineRule="auto"/>
        <w:rPr>
          <w:rFonts w:hint="eastAsia"/>
          <w:b/>
          <w:bCs/>
          <w:szCs w:val="21"/>
        </w:rPr>
        <w:outlineLvl w:val="2"/>
      </w:pPr>
      <w:r/>
      <w:bookmarkStart w:id="317" w:name="_Toc32007"/>
      <w:r>
        <w:rPr>
          <w:rFonts w:hint="eastAsia"/>
          <w:b/>
          <w:bCs/>
          <w:szCs w:val="21"/>
        </w:rPr>
        <w:t xml:space="preserve">（三）采购本国产品的支持政策</w:t>
      </w:r>
      <w:bookmarkEnd w:id="317"/>
      <w:r>
        <w:rPr>
          <w:rFonts w:hint="eastAsia"/>
          <w:b/>
          <w:bCs/>
          <w:szCs w:val="21"/>
        </w:rPr>
      </w:r>
      <w:r/>
    </w:p>
    <w:p>
      <w:pPr>
        <w:pStyle w:val="1275"/>
        <w:jc w:val="center"/>
        <w:keepLines/>
        <w:keepNext/>
        <w:spacing w:line="360" w:lineRule="auto"/>
        <w:rPr>
          <w:rFonts w:hint="eastAsia" w:ascii="宋体" w:hAnsi="宋体" w:cs="宋体"/>
          <w:b/>
          <w:sz w:val="24"/>
        </w:rPr>
      </w:pPr>
      <w:r>
        <w:rPr>
          <w:rFonts w:hint="eastAsia" w:ascii="宋体" w:hAnsi="宋体" w:cs="宋体"/>
          <w:b/>
          <w:sz w:val="24"/>
        </w:rPr>
      </w:r>
      <w:r/>
    </w:p>
    <w:p>
      <w:pPr>
        <w:pStyle w:val="1275"/>
        <w:jc w:val="center"/>
        <w:keepLines/>
        <w:keepNext/>
        <w:spacing w:line="360" w:lineRule="auto"/>
        <w:rPr>
          <w:rFonts w:hint="eastAsia" w:ascii="宋体" w:hAnsi="宋体" w:cs="宋体"/>
          <w:b/>
          <w:sz w:val="24"/>
        </w:rPr>
        <w:outlineLvl w:val="2"/>
      </w:pPr>
      <w:r/>
      <w:bookmarkStart w:id="318" w:name="_Toc374"/>
      <w:r>
        <w:rPr>
          <w:rFonts w:hint="eastAsia" w:ascii="宋体" w:hAnsi="宋体" w:cs="宋体"/>
          <w:b/>
          <w:sz w:val="24"/>
        </w:rPr>
        <w:t xml:space="preserve">关于符合本国产品标准的声明函</w:t>
      </w:r>
      <w:bookmarkEnd w:id="318"/>
      <w:r>
        <w:rPr>
          <w:rFonts w:hint="eastAsia" w:ascii="宋体" w:hAnsi="宋体" w:cs="宋体"/>
          <w:b/>
          <w:sz w:val="24"/>
        </w:rPr>
      </w:r>
      <w:r/>
    </w:p>
    <w:p>
      <w:pPr>
        <w:pStyle w:val="1310"/>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1319"/>
          <w:rFonts w:hint="eastAsia" w:ascii="宋体" w:hAnsi="宋体" w:eastAsia="宋体" w:cs="宋体"/>
          <w:i w:val="0"/>
          <w:color w:val="000000"/>
          <w:sz w:val="21"/>
          <w:szCs w:val="21"/>
          <w:u w:val="single"/>
          <w:shd w:val="clear" w:color="auto" w:fill="ffffff"/>
        </w:rPr>
        <w:t xml:space="preserve">（高频微波场强标准装置）</w:t>
      </w:r>
      <w:r>
        <w:rPr>
          <w:rStyle w:val="1319"/>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Style w:val="1319"/>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319"/>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Style w:val="1319"/>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Style w:val="1319"/>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Style w:val="1319"/>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1319"/>
          <w:rFonts w:hint="eastAsia" w:ascii="宋体" w:hAnsi="宋体" w:eastAsia="宋体" w:cs="宋体"/>
          <w:i w:val="0"/>
          <w:color w:val="000000"/>
          <w:sz w:val="21"/>
          <w:szCs w:val="21"/>
          <w:u w:val="single"/>
          <w:shd w:val="clear" w:color="auto" w:fill="ffffff"/>
        </w:rPr>
        <w:t xml:space="preserve">（测试场地检测装置）</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（数据中心能效检测装置）</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6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6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6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6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5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6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6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6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6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6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6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7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7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7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7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7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7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77;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79;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78;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8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8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7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319"/>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319"/>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319"/>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319"/>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319"/>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319"/>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1310"/>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131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310"/>
        <w:ind w:right="480" w:firstLine="325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1310"/>
        <w:jc w:val="center"/>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z w:val="21"/>
          <w:szCs w:val="21"/>
          <w:shd w:val="clear" w:color="auto" w:fill="ffffff"/>
        </w:rPr>
        <w:t xml:space="preserve">                                日期：　   年　  月　  日</w:t>
      </w:r>
      <w:r>
        <w:rPr>
          <w:rFonts w:hint="eastAsia" w:ascii="宋体" w:hAnsi="宋体" w:eastAsia="宋体" w:cs="宋体"/>
          <w:color w:val="000000"/>
          <w:shd w:val="clear" w:color="auto" w:fill="ffffff"/>
        </w:rPr>
        <w:t xml:space="preserve">         </w:t>
      </w:r>
      <w:r>
        <w:rPr>
          <w:rFonts w:hint="eastAsia" w:ascii="宋体" w:hAnsi="宋体" w:eastAsia="宋体" w:cs="宋体"/>
          <w:color w:val="000000"/>
        </w:rPr>
      </w:r>
      <w:r/>
    </w:p>
    <w:p>
      <w:pPr>
        <w:pStyle w:val="1310"/>
        <w:spacing w:before="30" w:beforeAutospacing="0" w:after="30" w:afterAutospacing="0" w:line="360" w:lineRule="auto"/>
        <w:rPr>
          <w:rFonts w:ascii="Times New Roman" w:hAnsi="Times New Roman" w:eastAsia="宋体"/>
          <w:color w:val="000000"/>
        </w:rPr>
      </w:pPr>
      <w:r>
        <w:rPr>
          <w:rFonts w:ascii="Times New Roman" w:hAnsi="Times New Roman" w:eastAsia="宋体"/>
          <w:color w:val="000000"/>
          <w:shd w:val="clear" w:color="auto" w:fill="ffffff"/>
        </w:rPr>
        <w:t xml:space="preserve">__________________</w:t>
      </w:r>
      <w:r>
        <w:rPr>
          <w:rFonts w:ascii="Times New Roman" w:hAnsi="Times New Roman" w:eastAsia="宋体"/>
          <w:color w:val="000000"/>
        </w:rPr>
      </w:r>
      <w:r/>
    </w:p>
    <w:p>
      <w:pPr>
        <w:pStyle w:val="1310"/>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1.产品如有型号，请在“产品名称”栏一并填写。</w:t>
      </w:r>
      <w:r>
        <w:rPr>
          <w:rFonts w:ascii="Times New Roman" w:hAnsi="Times New Roman" w:eastAsia="宋体"/>
          <w:color w:val="000000"/>
          <w:sz w:val="22"/>
        </w:rPr>
      </w:r>
      <w:r/>
    </w:p>
    <w:p>
      <w:pPr>
        <w:pStyle w:val="1310"/>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2.生产厂名与厂址应与生产厂营业执照载明的相关信息保持一致。</w:t>
      </w:r>
      <w:r>
        <w:rPr>
          <w:rFonts w:ascii="Times New Roman" w:hAnsi="Times New Roman" w:eastAsia="宋体"/>
          <w:color w:val="000000"/>
          <w:sz w:val="22"/>
        </w:rPr>
      </w:r>
      <w:r/>
    </w:p>
    <w:p>
      <w:pPr>
        <w:pStyle w:val="1310"/>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3.该产品的中国境内生产的组件成本占比相关要求实施前，“规定比例”栏可不填，下同。</w:t>
      </w:r>
      <w:r>
        <w:rPr>
          <w:rFonts w:ascii="Times New Roman" w:hAnsi="Times New Roman" w:eastAsia="宋体"/>
          <w:color w:val="000000"/>
          <w:sz w:val="22"/>
        </w:rPr>
      </w:r>
      <w:r/>
    </w:p>
    <w:p>
      <w:pPr>
        <w:pStyle w:val="1310"/>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4.该产品的关键组件要求实施前，“关键组件”栏可不填，下同。</w:t>
      </w:r>
      <w:r>
        <w:rPr>
          <w:rFonts w:ascii="Times New Roman" w:hAnsi="Times New Roman" w:eastAsia="宋体"/>
          <w:color w:val="000000"/>
          <w:sz w:val="22"/>
        </w:rPr>
      </w:r>
      <w:r/>
    </w:p>
    <w:p>
      <w:pPr>
        <w:pStyle w:val="1310"/>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5.该产品的关键工序要求实施前，“关键工序”栏可不填，下同。</w:t>
      </w:r>
      <w:r>
        <w:rPr>
          <w:rFonts w:ascii="Times New Roman" w:hAnsi="Times New Roman" w:eastAsia="宋体"/>
          <w:color w:val="000000"/>
          <w:sz w:val="22"/>
          <w:shd w:val="clear" w:color="auto" w:fill="ffffff"/>
        </w:rPr>
      </w:r>
      <w:r/>
    </w:p>
    <w:p>
      <w:pPr>
        <w:pStyle w:val="1310"/>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6.用斜线划除的地方无需填写。</w:t>
      </w:r>
      <w:r>
        <w:rPr>
          <w:rFonts w:ascii="Times New Roman" w:hAnsi="Times New Roman" w:eastAsia="宋体"/>
          <w:color w:val="000000"/>
          <w:sz w:val="22"/>
          <w:shd w:val="clear" w:color="auto" w:fill="ffffff"/>
        </w:rPr>
      </w:r>
      <w:r/>
    </w:p>
    <w:p>
      <w:pPr>
        <w:pStyle w:val="1310"/>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shd w:val="clear" w:color="auto" w:fill="ffffff"/>
        </w:rPr>
      </w:r>
      <w:r/>
    </w:p>
    <w:p>
      <w:pPr>
        <w:pStyle w:val="1310"/>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8.中标、成交供应商提供的《声明函》或有关证明文件将随中标、成交结果同时公告。</w:t>
      </w:r>
      <w:r>
        <w:rPr>
          <w:rFonts w:ascii="Times New Roman" w:hAnsi="Times New Roman" w:eastAsia="宋体"/>
          <w:color w:val="000000"/>
          <w:sz w:val="22"/>
          <w:shd w:val="clear" w:color="auto" w:fill="ffffff"/>
        </w:rPr>
      </w:r>
      <w:r/>
    </w:p>
    <w:p>
      <w:pPr>
        <w:pStyle w:val="1275"/>
        <w:spacing w:after="156" w:line="440" w:lineRule="exact"/>
        <w:rPr>
          <w:b/>
          <w:bCs/>
          <w:sz w:val="24"/>
          <w:szCs w:val="22"/>
          <w:lang w:val="zh-CN"/>
        </w:rPr>
        <w:outlineLvl w:val="1"/>
      </w:pPr>
      <w:r>
        <w:rPr>
          <w:b/>
          <w:bCs/>
          <w:sz w:val="24"/>
          <w:szCs w:val="22"/>
          <w:lang w:val="zh-CN"/>
        </w:rPr>
        <w:br w:type="page" w:clear="all"/>
      </w:r>
      <w:bookmarkStart w:id="319" w:name="_Toc3988"/>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319"/>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275"/>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275"/>
              <w:spacing w:line="312" w:lineRule="atLeast"/>
              <w:rPr>
                <w:b/>
                <w:bCs/>
                <w:szCs w:val="21"/>
              </w:rPr>
            </w:pPr>
            <w:r>
              <w:rPr>
                <w:b/>
                <w:bCs/>
                <w:szCs w:val="21"/>
              </w:rPr>
            </w:r>
            <w:r/>
          </w:p>
        </w:tc>
      </w:tr>
      <w:tr>
        <w:trPr>
          <w:trHeight w:val="986"/>
        </w:trPr>
        <w:tc>
          <w:tcPr>
            <w:tcW w:w="1809" w:type="dxa"/>
            <w:vAlign w:val="center"/>
            <w:textDirection w:val="lrTb"/>
            <w:noWrap w:val="false"/>
          </w:tcPr>
          <w:p>
            <w:pPr>
              <w:pStyle w:val="1275"/>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275"/>
              <w:spacing w:line="312" w:lineRule="atLeast"/>
              <w:rPr>
                <w:b/>
                <w:bCs/>
                <w:szCs w:val="21"/>
              </w:rPr>
            </w:pPr>
            <w:r>
              <w:rPr>
                <w:b/>
                <w:bCs/>
                <w:szCs w:val="21"/>
              </w:rPr>
            </w:r>
            <w:r/>
          </w:p>
        </w:tc>
      </w:tr>
      <w:tr>
        <w:trPr>
          <w:trHeight w:val="1114"/>
        </w:trPr>
        <w:tc>
          <w:tcPr>
            <w:tcW w:w="1809" w:type="dxa"/>
            <w:vAlign w:val="center"/>
            <w:textDirection w:val="lrTb"/>
            <w:noWrap w:val="false"/>
          </w:tcPr>
          <w:p>
            <w:pPr>
              <w:pStyle w:val="1275"/>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275"/>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275"/>
              <w:jc w:val="center"/>
              <w:rPr>
                <w:b/>
                <w:bCs/>
                <w:lang w:val="zh-CN"/>
              </w:rPr>
            </w:pPr>
            <w:r>
              <w:rPr>
                <w:b/>
                <w:bCs/>
                <w:lang w:val="zh-CN"/>
              </w:rPr>
              <w:t xml:space="preserve">供应商所在区域</w:t>
            </w:r>
            <w:r>
              <w:rPr>
                <w:b/>
                <w:bCs/>
                <w:lang w:val="zh-CN"/>
              </w:rPr>
            </w:r>
            <w:r/>
          </w:p>
          <w:p>
            <w:pPr>
              <w:pStyle w:val="1275"/>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275"/>
              <w:spacing w:line="312" w:lineRule="atLeast"/>
              <w:rPr>
                <w:b/>
                <w:bCs/>
                <w:szCs w:val="21"/>
              </w:rPr>
            </w:pPr>
            <w:r>
              <w:rPr>
                <w:b/>
                <w:bCs/>
                <w:szCs w:val="21"/>
              </w:rPr>
            </w:r>
            <w:r/>
          </w:p>
        </w:tc>
      </w:tr>
      <w:tr>
        <w:trPr>
          <w:trHeight w:val="835"/>
        </w:trPr>
        <w:tc>
          <w:tcPr>
            <w:tcW w:w="1809" w:type="dxa"/>
            <w:vAlign w:val="center"/>
            <w:textDirection w:val="lrTb"/>
            <w:noWrap w:val="false"/>
          </w:tcPr>
          <w:p>
            <w:pPr>
              <w:pStyle w:val="1275"/>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275"/>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rPr>
                <w:b/>
                <w:bCs/>
                <w:szCs w:val="21"/>
              </w:rPr>
            </w:r>
            <w:r/>
          </w:p>
        </w:tc>
      </w:tr>
    </w:tbl>
    <w:p>
      <w:pPr>
        <w:pStyle w:val="1275"/>
        <w:rPr>
          <w:lang w:val="zh-CN"/>
        </w:rPr>
      </w:pPr>
      <w:r>
        <w:rPr>
          <w:lang w:val="zh-CN"/>
        </w:rPr>
        <w:t xml:space="preserve">注：</w:t>
      </w:r>
      <w:r>
        <w:rPr>
          <w:lang w:val="zh-CN"/>
        </w:rPr>
      </w:r>
      <w:r/>
    </w:p>
    <w:p>
      <w:pPr>
        <w:pStyle w:val="1275"/>
        <w:ind w:firstLine="218"/>
        <w:spacing w:line="360" w:lineRule="auto"/>
        <w:rPr>
          <w:rFonts w:hint="eastAsia"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cs="宋体"/>
          <w:lang w:val="zh-CN"/>
        </w:rPr>
      </w:r>
      <w:r/>
    </w:p>
    <w:p>
      <w:pPr>
        <w:pStyle w:val="1275"/>
        <w:ind w:firstLine="218"/>
        <w:spacing w:line="360" w:lineRule="auto"/>
        <w:rPr>
          <w:rFonts w:hint="eastAsia" w:ascii="宋体" w:hAnsi="宋体" w:cs="宋体"/>
        </w:rPr>
      </w:pPr>
      <w:r>
        <w:rPr>
          <w:rFonts w:hint="eastAsia" w:ascii="宋体" w:hAnsi="宋体" w:cs="宋体"/>
        </w:rPr>
        <w:t xml:space="preserve">2、供应商所在区域：指供应商注册地所在地区，具体细化到省份；</w:t>
      </w:r>
      <w:r>
        <w:rPr>
          <w:rFonts w:hint="eastAsia" w:ascii="宋体" w:hAnsi="宋体" w:cs="宋体"/>
        </w:rPr>
      </w:r>
      <w:r/>
    </w:p>
    <w:p>
      <w:pPr>
        <w:pStyle w:val="1275"/>
        <w:ind w:firstLine="218"/>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cs="宋体"/>
        </w:rPr>
      </w:r>
      <w:r/>
    </w:p>
    <w:p>
      <w:pPr>
        <w:pStyle w:val="1275"/>
        <w:spacing w:after="156" w:line="440" w:lineRule="exact"/>
        <w:rPr>
          <w:rFonts w:hint="eastAsia"/>
          <w:b/>
          <w:bCs/>
          <w:color w:val="000000"/>
          <w:sz w:val="24"/>
          <w:szCs w:val="22"/>
        </w:rPr>
        <w:outlineLvl w:val="1"/>
      </w:pPr>
      <w:r>
        <w:rPr>
          <w:rFonts w:hint="eastAsia" w:ascii="宋体" w:hAnsi="宋体" w:cs="宋体"/>
        </w:rPr>
        <w:br w:type="page" w:clear="all"/>
      </w:r>
      <w:bookmarkStart w:id="320" w:name="_Toc21565"/>
      <w:r/>
      <w:bookmarkStart w:id="321" w:name="_Toc17128"/>
      <w:r>
        <w:rPr>
          <w:rFonts w:hint="eastAsia"/>
          <w:b/>
          <w:bCs/>
          <w:color w:val="000000"/>
          <w:sz w:val="24"/>
          <w:szCs w:val="22"/>
          <w:lang w:val="zh-CN"/>
        </w:rPr>
        <w:t xml:space="preserve">附件</w:t>
      </w:r>
      <w:r>
        <w:rPr>
          <w:rFonts w:hint="eastAsia"/>
          <w:b/>
          <w:bCs/>
          <w:color w:val="000000"/>
          <w:sz w:val="24"/>
          <w:szCs w:val="22"/>
        </w:rPr>
        <w:t xml:space="preserve">七 </w:t>
      </w:r>
      <w:r>
        <w:rPr>
          <w:rFonts w:hint="eastAsia"/>
          <w:b/>
          <w:bCs/>
          <w:color w:val="000000"/>
          <w:sz w:val="24"/>
          <w:szCs w:val="22"/>
          <w:lang w:val="zh-CN"/>
        </w:rPr>
        <w:t xml:space="preserve">供应商情况告知表</w:t>
      </w:r>
      <w:r>
        <w:rPr>
          <w:rFonts w:hint="eastAsia"/>
          <w:b/>
          <w:bCs/>
          <w:color w:val="000000"/>
          <w:sz w:val="24"/>
          <w:szCs w:val="22"/>
        </w:rPr>
        <w:t xml:space="preserve">—附表</w:t>
      </w:r>
      <w:bookmarkEnd w:id="320"/>
      <w:r/>
      <w:bookmarkEnd w:id="321"/>
      <w:r>
        <w:rPr>
          <w:rFonts w:hint="eastAsia"/>
          <w:b/>
          <w:bCs/>
          <w:color w:val="000000"/>
          <w:sz w:val="24"/>
          <w:szCs w:val="22"/>
        </w:rPr>
      </w:r>
      <w:r/>
    </w:p>
    <w:p>
      <w:pPr>
        <w:pStyle w:val="1275"/>
        <w:spacing w:line="440" w:lineRule="exact"/>
        <w:rPr>
          <w:rFonts w:hAnsi="宋体" w:cs="宋体"/>
          <w:szCs w:val="21"/>
        </w:rPr>
      </w:pPr>
      <w:r>
        <w:rPr>
          <w:rFonts w:hint="eastAsia" w:hAnsi="宋体" w:cs="宋体"/>
          <w:szCs w:val="21"/>
        </w:rPr>
        <w:t xml:space="preserve">中小企业划型标准规定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一、根据《中华人民共和国中小企业促进法》和《国务院关于进一步促进中小企业发展的若干意见》(国发〔2009〕36号)，制定本规定。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二、中小企业划分为中型、小型、微型三种类型，具体标准根据企业从业人员、营业收入、资产总额等指标，结合行业特点制定。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四、各行业划型标准为：</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cs="宋体"/>
          <w:szCs w:val="21"/>
        </w:rPr>
      </w:r>
      <w:r/>
    </w:p>
    <w:p>
      <w:pPr>
        <w:pStyle w:val="1275"/>
        <w:spacing w:line="440" w:lineRule="exact"/>
        <w:rPr>
          <w:rFonts w:hint="eastAsia" w:hAnsi="宋体" w:cs="宋体"/>
          <w:b/>
          <w:bCs/>
          <w:color w:val="ff0000"/>
          <w:szCs w:val="21"/>
        </w:rPr>
      </w:pPr>
      <w:r>
        <w:rPr>
          <w:rFonts w:hint="eastAsia" w:hAnsi="宋体" w:cs="宋体"/>
          <w:b/>
          <w:bCs/>
          <w:color w:val="ff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bCs/>
          <w:color w:val="ff0000"/>
          <w:szCs w:val="21"/>
        </w:rPr>
      </w:r>
      <w:r/>
    </w:p>
    <w:p>
      <w:pPr>
        <w:pStyle w:val="1275"/>
        <w:spacing w:line="440" w:lineRule="exact"/>
        <w:rPr>
          <w:rFonts w:hAnsi="宋体" w:cs="宋体"/>
          <w:szCs w:val="21"/>
        </w:rPr>
      </w:pPr>
      <w:r>
        <w:rPr>
          <w:rFonts w:hint="eastAsia"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五、企业类型的划分以统计部门的统计数据为依据。</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六、本规定适用于在中华人民共和国境内依法设立的各类所有制和各种组织形式的企业。个体工商户和本规定以外的行业，参照本规定进行划型。</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Ansi="宋体" w:cs="宋体"/>
          <w:szCs w:val="21"/>
        </w:rPr>
      </w:r>
      <w:r/>
    </w:p>
    <w:p>
      <w:pPr>
        <w:pStyle w:val="1275"/>
        <w:spacing w:line="440" w:lineRule="exact"/>
        <w:rPr>
          <w:rFonts w:hAnsi="宋体" w:cs="宋体"/>
          <w:szCs w:val="21"/>
        </w:rPr>
      </w:pPr>
      <w:r>
        <w:rPr>
          <w:rFonts w:hint="eastAsia" w:hAnsi="宋体" w:cs="宋体"/>
          <w:szCs w:val="21"/>
        </w:rPr>
        <w:t xml:space="preserve">八、本规定由工业和信息化部、国家统计局会同有关部门根据《国民经济行业分类》修订情况和企业发展变化情况适时修订。</w:t>
      </w:r>
      <w:r>
        <w:rPr>
          <w:rFonts w:hAnsi="宋体" w:cs="宋体"/>
          <w:szCs w:val="21"/>
        </w:rPr>
      </w:r>
      <w:r/>
    </w:p>
    <w:p>
      <w:pPr>
        <w:pStyle w:val="1275"/>
        <w:spacing w:line="440" w:lineRule="exact"/>
        <w:rPr>
          <w:rFonts w:hAnsi="宋体" w:cs="宋体"/>
          <w:szCs w:val="21"/>
        </w:rPr>
      </w:pPr>
      <w:r>
        <w:rPr>
          <w:rFonts w:hint="eastAsia" w:hAnsi="宋体" w:cs="宋体"/>
          <w:szCs w:val="21"/>
        </w:rPr>
        <w:t xml:space="preserve">九、本规定由工业和信息化部、国家统计局会同有关部门负责解释。</w:t>
      </w:r>
      <w:r>
        <w:rPr>
          <w:rFonts w:hAnsi="宋体" w:cs="宋体"/>
          <w:szCs w:val="21"/>
        </w:rPr>
      </w:r>
      <w:r/>
    </w:p>
    <w:p>
      <w:pPr>
        <w:pStyle w:val="1275"/>
        <w:ind w:firstLine="218"/>
        <w:spacing w:line="360" w:lineRule="auto"/>
        <w:rPr>
          <w:rFonts w:hint="eastAsia" w:ascii="宋体" w:hAnsi="宋体" w:cs="宋体"/>
        </w:rPr>
      </w:pPr>
      <w:r>
        <w:rPr>
          <w:rFonts w:hint="eastAsia"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rPr>
      </w:r>
      <w:r/>
    </w:p>
    <w:p>
      <w:pPr>
        <w:pStyle w:val="1275"/>
        <w:ind w:firstLine="218"/>
        <w:spacing w:line="360" w:lineRule="auto"/>
        <w:rPr>
          <w:rFonts w:hint="eastAsia" w:ascii="宋体" w:hAnsi="宋体" w:cs="宋体"/>
        </w:rPr>
      </w:pPr>
      <w:r>
        <w:rPr>
          <w:rFonts w:hint="eastAsia" w:ascii="宋体" w:hAnsi="宋体" w:cs="宋体"/>
        </w:rPr>
      </w:r>
      <w:r/>
    </w:p>
    <w:p>
      <w:pPr>
        <w:pStyle w:val="1275"/>
        <w:ind w:right="1560"/>
        <w:spacing w:line="360" w:lineRule="auto"/>
        <w:tabs>
          <w:tab w:val="left" w:pos="4860" w:leader="none"/>
        </w:tabs>
        <w:rPr>
          <w:rFonts w:hint="eastAsia" w:ascii="宋体" w:cs="宋体"/>
          <w:b/>
          <w:sz w:val="24"/>
          <w:szCs w:val="24"/>
        </w:rPr>
      </w:pPr>
      <w:r>
        <w:rPr>
          <w:rFonts w:hint="eastAsia" w:ascii="宋体" w:cs="宋体"/>
          <w:spacing w:val="6"/>
          <w:sz w:val="24"/>
          <w:szCs w:val="24"/>
        </w:rPr>
        <w:t xml:space="preserve">  </w:t>
      </w:r>
      <w:r>
        <w:rPr>
          <w:rFonts w:hint="eastAsia" w:ascii="宋体" w:cs="宋体"/>
          <w:b/>
          <w:sz w:val="24"/>
          <w:szCs w:val="24"/>
        </w:rPr>
      </w:r>
      <w:r/>
    </w:p>
    <w:p>
      <w:pPr>
        <w:pStyle w:val="1275"/>
        <w:ind w:right="-5"/>
        <w:spacing w:line="360" w:lineRule="auto"/>
        <w:rPr>
          <w:rFonts w:hint="eastAsia" w:ascii="宋体" w:cs="宋体"/>
          <w:b/>
          <w:sz w:val="24"/>
          <w:szCs w:val="24"/>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sz w:val="24"/>
          <w:szCs w:val="24"/>
        </w:rPr>
      </w:r>
      <w:r/>
    </w:p>
    <w:p>
      <w:pPr>
        <w:pStyle w:val="1275"/>
        <w:spacing w:line="360" w:lineRule="auto"/>
        <w:rPr>
          <w:rFonts w:hint="eastAsia" w:ascii="宋体" w:cs="宋体"/>
          <w:b/>
        </w:rPr>
        <w:outlineLvl w:val="1"/>
      </w:pPr>
      <w:r/>
      <w:bookmarkStart w:id="322" w:name="_Toc14428"/>
      <w:r/>
      <w:bookmarkStart w:id="323" w:name="_Toc27256"/>
      <w:r/>
      <w:bookmarkStart w:id="324" w:name="_Toc16401"/>
      <w:r>
        <w:rPr>
          <w:rFonts w:hint="eastAsia" w:ascii="宋体" w:cs="宋体"/>
          <w:b/>
          <w:bCs/>
          <w:sz w:val="24"/>
          <w:szCs w:val="22"/>
          <w:lang w:val="zh-CN"/>
        </w:rPr>
        <w:t xml:space="preserve">附件八 资格证明文件</w:t>
      </w:r>
      <w:bookmarkEnd w:id="322"/>
      <w:r/>
      <w:bookmarkEnd w:id="323"/>
      <w:r/>
      <w:bookmarkEnd w:id="324"/>
      <w:r>
        <w:rPr>
          <w:rFonts w:hint="eastAsia" w:ascii="宋体" w:cs="宋体"/>
          <w:b/>
        </w:rPr>
      </w:r>
      <w:r/>
    </w:p>
    <w:p>
      <w:pPr>
        <w:pStyle w:val="1275"/>
        <w:jc w:val="left"/>
        <w:spacing w:line="360" w:lineRule="auto"/>
        <w:rPr>
          <w:rFonts w:hint="eastAsia" w:ascii="宋体" w:cs="宋体"/>
          <w:b/>
          <w:bCs/>
          <w:szCs w:val="21"/>
          <w:lang w:val="zh-CN"/>
        </w:rPr>
        <w:outlineLvl w:val="2"/>
      </w:pPr>
      <w:r/>
      <w:bookmarkStart w:id="325" w:name="_Toc12234"/>
      <w:r/>
      <w:bookmarkStart w:id="326" w:name="_Toc4916"/>
      <w:r/>
      <w:bookmarkStart w:id="327" w:name="_Toc12950"/>
      <w:r>
        <w:rPr>
          <w:rFonts w:hint="eastAsia" w:ascii="宋体" w:cs="宋体"/>
          <w:b/>
          <w:bCs/>
          <w:szCs w:val="21"/>
          <w:lang w:val="zh-CN"/>
        </w:rPr>
        <w:t xml:space="preserve">1、法人或其他组织的营业执照等证明文件（复印件加盖公章）</w:t>
      </w:r>
      <w:bookmarkEnd w:id="325"/>
      <w:r/>
      <w:bookmarkEnd w:id="326"/>
      <w:r/>
      <w:bookmarkEnd w:id="327"/>
      <w:r>
        <w:rPr>
          <w:rFonts w:hint="eastAsia" w:ascii="宋体" w:cs="宋体"/>
          <w:b/>
          <w:bCs/>
          <w:szCs w:val="21"/>
          <w:lang w:val="zh-CN"/>
        </w:rPr>
      </w:r>
      <w:r/>
    </w:p>
    <w:p>
      <w:pPr>
        <w:pStyle w:val="1275"/>
        <w:spacing w:line="360" w:lineRule="auto"/>
        <w:rPr>
          <w:rFonts w:hint="eastAsia"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rPr>
          <w:rFonts w:hint="eastAsia" w:ascii="宋体" w:hAnsi="宋体" w:cs="宋体"/>
          <w:szCs w:val="21"/>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275"/>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spacing w:line="440" w:lineRule="exact"/>
        <w:rPr>
          <w:rFonts w:hint="eastAsia" w:ascii="宋体" w:cs="宋体"/>
          <w:sz w:val="24"/>
          <w:szCs w:val="24"/>
        </w:rPr>
      </w:pPr>
      <w:r>
        <w:rPr>
          <w:rFonts w:hint="eastAsia" w:ascii="宋体" w:cs="宋体"/>
          <w:sz w:val="24"/>
          <w:szCs w:val="24"/>
        </w:rPr>
      </w:r>
      <w:r/>
    </w:p>
    <w:p>
      <w:pPr>
        <w:pStyle w:val="1275"/>
        <w:jc w:val="left"/>
        <w:spacing w:line="360" w:lineRule="auto"/>
        <w:rPr>
          <w:rFonts w:hint="eastAsia" w:asci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bCs/>
          <w:szCs w:val="21"/>
          <w:lang w:val="zh-CN"/>
        </w:rPr>
      </w:r>
      <w:r/>
    </w:p>
    <w:p>
      <w:pPr>
        <w:pStyle w:val="1275"/>
        <w:jc w:val="left"/>
        <w:spacing w:line="360" w:lineRule="auto"/>
        <w:rPr>
          <w:rFonts w:hint="eastAsia" w:ascii="宋体" w:cs="宋体"/>
          <w:b/>
          <w:bCs/>
          <w:szCs w:val="21"/>
          <w:lang w:val="zh-CN"/>
        </w:rPr>
        <w:outlineLvl w:val="2"/>
      </w:pPr>
      <w:r/>
      <w:bookmarkStart w:id="328" w:name="_Toc26588"/>
      <w:r/>
      <w:bookmarkStart w:id="329" w:name="_Toc24535"/>
      <w:r/>
      <w:bookmarkStart w:id="330" w:name="_Toc20150"/>
      <w:r>
        <w:rPr>
          <w:rFonts w:hint="eastAsia" w:ascii="宋体" w:cs="宋体"/>
          <w:b/>
          <w:bCs/>
          <w:szCs w:val="21"/>
          <w:lang w:val="zh-CN"/>
        </w:rPr>
        <w:t xml:space="preserve">2、法人代表授权书</w:t>
      </w:r>
      <w:bookmarkEnd w:id="328"/>
      <w:r/>
      <w:bookmarkEnd w:id="329"/>
      <w:r/>
      <w:bookmarkEnd w:id="330"/>
      <w:r>
        <w:rPr>
          <w:rFonts w:hint="eastAsia" w:ascii="宋体" w:cs="宋体"/>
          <w:b/>
          <w:bCs/>
          <w:szCs w:val="21"/>
          <w:lang w:val="zh-CN"/>
        </w:rPr>
      </w:r>
      <w:r/>
    </w:p>
    <w:p>
      <w:pPr>
        <w:pStyle w:val="1275"/>
        <w:spacing w:line="360" w:lineRule="auto"/>
        <w:rPr>
          <w:rFonts w:hint="eastAsia" w:ascii="宋体" w:cs="宋体"/>
          <w:b/>
        </w:rPr>
      </w:pPr>
      <w:r>
        <w:rPr>
          <w:rFonts w:hint="eastAsia" w:ascii="宋体" w:cs="宋体"/>
          <w:b/>
        </w:rPr>
        <w:t xml:space="preserve">致江苏苏美达仪器设备有限公司：</w:t>
      </w:r>
      <w:r>
        <w:rPr>
          <w:rFonts w:hint="eastAsia" w:ascii="宋体" w:cs="宋体"/>
          <w:b/>
        </w:rPr>
      </w:r>
      <w:r/>
    </w:p>
    <w:p>
      <w:pPr>
        <w:pStyle w:val="1275"/>
        <w:spacing w:line="360" w:lineRule="auto"/>
        <w:rPr>
          <w:rFonts w:hint="eastAsia" w:ascii="宋体" w:cs="宋体"/>
          <w:szCs w:val="21"/>
        </w:rPr>
      </w:pPr>
      <w:r>
        <w:rPr>
          <w:rFonts w:hint="eastAsia" w:ascii="宋体" w:cs="宋体"/>
          <w:b/>
        </w:rPr>
        <w:t xml:space="preserve">   </w:t>
      </w:r>
      <w:r>
        <w:rPr>
          <w:rFonts w:hint="eastAsia" w:ascii="宋体" w:cs="宋体"/>
          <w:szCs w:val="21"/>
        </w:rPr>
        <w:t xml:space="preserve">本授权委托书声明：注册于</w:t>
      </w:r>
      <w:r>
        <w:rPr>
          <w:rFonts w:hint="eastAsia" w:ascii="宋体" w:cs="宋体"/>
          <w:szCs w:val="21"/>
          <w:u w:val="single"/>
        </w:rPr>
        <w:t xml:space="preserve">                </w:t>
      </w:r>
      <w:r>
        <w:rPr>
          <w:rFonts w:hint="eastAsia" w:ascii="宋体" w:cs="宋体"/>
          <w:szCs w:val="21"/>
        </w:rPr>
        <w:t xml:space="preserve">（投标人住址）的</w:t>
      </w:r>
      <w:r>
        <w:rPr>
          <w:rFonts w:hint="eastAsia" w:ascii="宋体" w:cs="宋体"/>
          <w:b/>
          <w:szCs w:val="21"/>
          <w:u w:val="single"/>
        </w:rPr>
        <w:t xml:space="preserve">              </w:t>
      </w:r>
      <w:r>
        <w:rPr>
          <w:rFonts w:hint="eastAsia" w:ascii="宋体" w:cs="宋体"/>
          <w:szCs w:val="21"/>
        </w:rPr>
        <w:t xml:space="preserve">（投标人名称）法定代表人</w:t>
      </w:r>
      <w:r>
        <w:rPr>
          <w:rFonts w:hint="eastAsia" w:ascii="宋体" w:cs="宋体"/>
          <w:szCs w:val="21"/>
          <w:u w:val="single"/>
        </w:rPr>
        <w:t xml:space="preserve"> </w:t>
      </w:r>
      <w:r>
        <w:rPr>
          <w:rFonts w:hint="eastAsia" w:ascii="宋体" w:cs="宋体"/>
          <w:b/>
          <w:szCs w:val="21"/>
          <w:u w:val="single"/>
        </w:rPr>
        <w:t xml:space="preserve">          </w:t>
      </w:r>
      <w:r>
        <w:rPr>
          <w:rFonts w:hint="eastAsia" w:ascii="宋体" w:cs="宋体"/>
          <w:szCs w:val="21"/>
        </w:rPr>
        <w:t xml:space="preserve">（法定代表人姓名、职务）代表本公司授权在下面签字的</w:t>
      </w:r>
      <w:r>
        <w:rPr>
          <w:rFonts w:hint="eastAsia" w:ascii="宋体" w:cs="宋体"/>
          <w:szCs w:val="21"/>
          <w:u w:val="single"/>
        </w:rPr>
        <w:t xml:space="preserve">         </w:t>
      </w:r>
      <w:r>
        <w:rPr>
          <w:rFonts w:hint="eastAsia" w:ascii="宋体" w:cs="宋体"/>
          <w:szCs w:val="21"/>
        </w:rPr>
        <w:t xml:space="preserve">（投标人代表姓名、职务）为本公司的合法代理人，就贵方组织的</w:t>
      </w:r>
      <w:r>
        <w:rPr>
          <w:rFonts w:hint="eastAsia" w:ascii="宋体" w:cs="宋体"/>
          <w:szCs w:val="21"/>
          <w:u w:val="single"/>
        </w:rPr>
        <w:t xml:space="preserve">         </w:t>
      </w:r>
      <w:r>
        <w:rPr>
          <w:rFonts w:hint="eastAsia" w:ascii="宋体" w:cs="宋体"/>
          <w:szCs w:val="21"/>
        </w:rPr>
        <w:t xml:space="preserve">（项目名称）</w:t>
      </w:r>
      <w:r>
        <w:rPr>
          <w:rFonts w:hint="eastAsia" w:ascii="宋体" w:cs="宋体"/>
          <w:szCs w:val="21"/>
          <w:u w:val="single"/>
        </w:rPr>
        <w:t xml:space="preserve">            </w:t>
      </w:r>
      <w:r>
        <w:rPr>
          <w:rFonts w:hint="eastAsia" w:ascii="宋体" w:cs="宋体"/>
          <w:szCs w:val="21"/>
        </w:rPr>
        <w:t xml:space="preserve">（招标编号）投标，以本公司名义处理一切与之有关的事务。</w:t>
      </w:r>
      <w:r>
        <w:rPr>
          <w:rFonts w:hint="eastAsia" w:ascii="宋体" w:cs="宋体"/>
          <w:szCs w:val="21"/>
        </w:rPr>
      </w:r>
      <w:r/>
    </w:p>
    <w:p>
      <w:pPr>
        <w:pStyle w:val="1275"/>
        <w:ind w:firstLine="420"/>
        <w:jc w:val="left"/>
        <w:spacing w:line="360" w:lineRule="auto"/>
        <w:shd w:val="clear" w:color="auto" w:fill="ffffff"/>
        <w:widowControl/>
        <w:rPr>
          <w:rFonts w:hint="eastAsia" w:ascii="宋体" w:cs="宋体"/>
          <w:szCs w:val="21"/>
        </w:rPr>
      </w:pPr>
      <w:r>
        <w:rPr>
          <w:rFonts w:hint="eastAsia" w:ascii="宋体" w:cs="宋体"/>
          <w:szCs w:val="21"/>
        </w:rPr>
        <w:t xml:space="preserve">本授权书于</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日签字生效，特此声明。</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法定代表人签字： </w:t>
      </w:r>
      <w:r>
        <w:rPr>
          <w:rFonts w:hint="eastAsia" w:ascii="宋体" w:cs="宋体"/>
          <w:szCs w:val="21"/>
        </w:rPr>
      </w:r>
      <w:r/>
    </w:p>
    <w:p>
      <w:pPr>
        <w:pStyle w:val="1275"/>
        <w:spacing w:line="360" w:lineRule="auto"/>
        <w:rPr>
          <w:rFonts w:hint="eastAsia" w:ascii="宋体" w:cs="宋体"/>
          <w:szCs w:val="21"/>
        </w:rPr>
      </w:pPr>
      <w:r>
        <w:rPr>
          <w:rFonts w:hint="eastAsia" w:ascii="宋体" w:cs="宋体"/>
          <w:szCs w:val="21"/>
        </w:rPr>
        <w:t xml:space="preserve">授权代表签字： </w:t>
      </w:r>
      <w:r>
        <w:rPr>
          <w:rFonts w:hint="eastAsia" w:ascii="宋体" w:cs="宋体"/>
          <w:szCs w:val="21"/>
        </w:rPr>
      </w:r>
      <w:r/>
    </w:p>
    <w:p>
      <w:pPr>
        <w:pStyle w:val="1275"/>
        <w:spacing w:line="360" w:lineRule="auto"/>
        <w:rPr>
          <w:rFonts w:hint="eastAsia" w:ascii="宋体" w:cs="宋体"/>
          <w:sz w:val="23"/>
        </w:rPr>
      </w:pPr>
      <w:r>
        <w:rPr>
          <w:rFonts w:hint="eastAsia" w:ascii="宋体" w:cs="宋体"/>
          <w:szCs w:val="21"/>
        </w:rPr>
        <w:t xml:space="preserve">投标人名称（公章）：</w:t>
      </w:r>
      <w:r>
        <w:rPr>
          <w:rFonts w:hint="eastAsia" w:ascii="宋体" w:cs="宋体"/>
          <w:sz w:val="23"/>
        </w:rPr>
        <w:t xml:space="preserve"> </w:t>
      </w:r>
      <w:r>
        <w:rPr>
          <w:rFonts w:hint="eastAsia" w:ascii="宋体" w:cs="宋体"/>
          <w:sz w:val="23"/>
        </w:rPr>
      </w:r>
      <w:r/>
    </w:p>
    <w:p>
      <w:pPr>
        <w:pStyle w:val="1275"/>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275"/>
        <w:spacing w:line="360" w:lineRule="auto"/>
        <w:rPr>
          <w:rFonts w:hint="eastAsia" w:ascii="宋体" w:cs="宋体"/>
          <w:b/>
          <w:szCs w:val="21"/>
        </w:rPr>
      </w:pPr>
      <w:r>
        <w:rPr>
          <w:rFonts w:hint="eastAsia" w:ascii="宋体" w:cs="宋体"/>
          <w:sz w:val="23"/>
        </w:rPr>
        <w:t xml:space="preserve"> </w:t>
      </w:r>
      <w:r>
        <w:rPr>
          <w:rFonts w:hint="eastAsia" w:ascii="宋体" w:cs="宋体"/>
          <w:b/>
          <w:szCs w:val="21"/>
        </w:rPr>
      </w:r>
      <w:r/>
    </w:p>
    <w:p>
      <w:pPr>
        <w:pStyle w:val="1275"/>
        <w:spacing w:line="360" w:lineRule="auto"/>
        <w:rPr>
          <w:rFonts w:hint="eastAsia" w:ascii="宋体" w:cs="宋体"/>
          <w:b/>
          <w:bCs/>
          <w:szCs w:val="21"/>
        </w:rPr>
      </w:pPr>
      <w:r>
        <w:rPr>
          <w:rFonts w:hint="eastAsia" w:ascii="宋体" w:cs="宋体"/>
          <w:b/>
          <w:bCs/>
          <w:szCs w:val="21"/>
        </w:rPr>
        <w:t xml:space="preserve">附：法定代表人、投标人授权代表的身份证复印件</w:t>
      </w:r>
      <w:r>
        <w:rPr>
          <w:rFonts w:hint="eastAsia" w:ascii="宋体" w:cs="宋体"/>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75"/>
              <w:spacing w:line="440" w:lineRule="exact"/>
              <w:rPr>
                <w:rFonts w:hint="eastAsia" w:ascii="宋体" w:cs="宋体"/>
                <w:b/>
              </w:rPr>
            </w:pPr>
            <w:r>
              <w:rPr>
                <w:rFonts w:hint="eastAsia" w:ascii="宋体" w:cs="宋体"/>
                <w:b/>
              </w:rPr>
            </w:r>
            <w:r/>
          </w:p>
        </w:tc>
      </w:tr>
    </w:tbl>
    <w:p>
      <w:pPr>
        <w:pStyle w:val="1275"/>
        <w:ind w:right="-5"/>
        <w:spacing w:line="360" w:lineRule="auto"/>
        <w:rPr>
          <w:rFonts w:hint="eastAsia" w:ascii="宋体" w:cs="宋体"/>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szCs w:val="24"/>
        </w:rPr>
      </w:r>
      <w:r/>
    </w:p>
    <w:p>
      <w:pPr>
        <w:pStyle w:val="1275"/>
        <w:jc w:val="left"/>
        <w:spacing w:line="360" w:lineRule="auto"/>
        <w:rPr>
          <w:rFonts w:ascii="Arial" w:hAnsi="Arial" w:cs="Arial"/>
          <w:b/>
          <w:bCs/>
          <w:szCs w:val="21"/>
          <w:lang w:val="zh-CN"/>
        </w:rPr>
        <w:outlineLvl w:val="2"/>
      </w:pPr>
      <w:r/>
      <w:bookmarkStart w:id="331" w:name="_Toc1910"/>
      <w:r/>
      <w:bookmarkStart w:id="332" w:name="_Toc8662"/>
      <w:r/>
      <w:bookmarkStart w:id="333" w:name="_Toc19005"/>
      <w:r>
        <w:rPr>
          <w:rFonts w:hint="eastAsia" w:ascii="宋体" w:hAnsi="宋体" w:cs="宋体"/>
          <w:b/>
          <w:bCs/>
          <w:szCs w:val="21"/>
          <w:lang w:val="zh-CN"/>
        </w:rPr>
        <w:t xml:space="preserve">3、</w:t>
      </w:r>
      <w:r>
        <w:rPr>
          <w:rFonts w:hint="eastAsia" w:ascii="Arial" w:hAnsi="Arial" w:cs="Arial"/>
          <w:b/>
          <w:bCs/>
          <w:szCs w:val="21"/>
          <w:lang w:val="zh-CN"/>
        </w:rPr>
        <w:t xml:space="preserve">制造商授权书</w:t>
      </w:r>
      <w:bookmarkEnd w:id="331"/>
      <w:r/>
      <w:bookmarkEnd w:id="332"/>
      <w:r>
        <w:rPr>
          <w:rFonts w:hint="eastAsia" w:ascii="Arial" w:hAnsi="Arial" w:cs="Arial"/>
          <w:b/>
          <w:bCs/>
          <w:szCs w:val="21"/>
          <w:lang w:val="zh-CN"/>
        </w:rPr>
        <w:t xml:space="preserve">（</w:t>
      </w:r>
      <w:r>
        <w:rPr>
          <w:rFonts w:hint="eastAsia" w:ascii="Arial" w:hAnsi="Arial" w:cs="Arial"/>
          <w:b/>
          <w:bCs/>
          <w:szCs w:val="21"/>
        </w:rPr>
        <w:t xml:space="preserve">如需</w:t>
      </w:r>
      <w:r>
        <w:rPr>
          <w:rFonts w:hint="eastAsia" w:ascii="Arial" w:hAnsi="Arial" w:cs="Arial"/>
          <w:b/>
          <w:bCs/>
          <w:szCs w:val="21"/>
          <w:lang w:val="zh-CN"/>
        </w:rPr>
        <w:t xml:space="preserve">）</w:t>
      </w:r>
      <w:bookmarkEnd w:id="333"/>
      <w:r>
        <w:rPr>
          <w:rFonts w:ascii="Arial" w:hAnsi="Arial" w:cs="Arial"/>
          <w:b/>
          <w:bCs/>
          <w:szCs w:val="21"/>
          <w:lang w:val="zh-CN"/>
        </w:rPr>
      </w:r>
      <w:r/>
    </w:p>
    <w:p>
      <w:pPr>
        <w:pStyle w:val="1275"/>
        <w:spacing w:line="360" w:lineRule="auto"/>
        <w:rPr>
          <w:rFonts w:ascii="Arial" w:hAnsi="Arial" w:cs="Arial"/>
          <w:szCs w:val="21"/>
        </w:rPr>
      </w:pPr>
      <w:r>
        <w:rPr>
          <w:rFonts w:ascii="Arial" w:hAnsi="Arial" w:cs="Arial"/>
          <w:szCs w:val="21"/>
        </w:rPr>
      </w:r>
      <w:r/>
    </w:p>
    <w:p>
      <w:pPr>
        <w:pStyle w:val="1275"/>
        <w:spacing w:line="360" w:lineRule="auto"/>
        <w:rPr>
          <w:rFonts w:ascii="Arial" w:hAnsi="Arial" w:cs="Arial"/>
          <w:b/>
          <w:szCs w:val="21"/>
        </w:rPr>
      </w:pPr>
      <w:r>
        <w:rPr>
          <w:rFonts w:ascii="Arial" w:hAnsi="Arial" w:cs="Arial"/>
          <w:szCs w:val="21"/>
        </w:rPr>
        <w:t xml:space="preserve">致：（</w:t>
      </w:r>
      <w:r>
        <w:rPr>
          <w:rFonts w:hint="eastAsia" w:ascii="Arial" w:hAnsi="Arial" w:cs="Arial"/>
          <w:szCs w:val="21"/>
        </w:rPr>
        <w:t xml:space="preserve">采购代理机构</w:t>
      </w:r>
      <w:r>
        <w:rPr>
          <w:rFonts w:ascii="Arial" w:hAnsi="Arial" w:cs="Arial"/>
          <w:szCs w:val="21"/>
        </w:rPr>
        <w:t xml:space="preserve">）</w:t>
      </w:r>
      <w:r>
        <w:rPr>
          <w:rFonts w:ascii="Arial" w:hAnsi="Arial" w:cs="Arial"/>
          <w:b/>
          <w:szCs w:val="21"/>
        </w:rPr>
      </w:r>
      <w:r/>
    </w:p>
    <w:p>
      <w:pPr>
        <w:pStyle w:val="1275"/>
        <w:ind w:firstLine="420"/>
        <w:spacing w:line="360" w:lineRule="auto"/>
        <w:rPr>
          <w:rFonts w:ascii="Arial" w:hAnsi="Arial" w:cs="Arial"/>
          <w:szCs w:val="21"/>
        </w:rPr>
      </w:pP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275"/>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hint="eastAsia" w:ascii="Arial" w:hAnsi="Arial" w:cs="Arial"/>
          <w:szCs w:val="21"/>
          <w:u w:val="single"/>
        </w:rPr>
        <w:t xml:space="preserve">   </w:t>
      </w:r>
      <w:r>
        <w:rPr>
          <w:rFonts w:ascii="Arial" w:hAnsi="Arial" w:cs="Arial"/>
          <w:szCs w:val="21"/>
        </w:rPr>
        <w:t xml:space="preserve">号公开招标要求提供的由我方制造的产品的有关事宜，并对我方具有约束力。</w:t>
      </w:r>
      <w:r>
        <w:rPr>
          <w:rFonts w:ascii="Arial" w:hAnsi="Arial" w:cs="Arial"/>
          <w:szCs w:val="21"/>
        </w:rPr>
      </w:r>
      <w:r/>
    </w:p>
    <w:p>
      <w:pPr>
        <w:pStyle w:val="1275"/>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275"/>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w:t>
      </w:r>
      <w:r>
        <w:rPr>
          <w:rFonts w:hint="eastAsia" w:ascii="Arial" w:hAnsi="Arial" w:cs="Arial"/>
          <w:szCs w:val="21"/>
        </w:rPr>
        <w:t xml:space="preserve">撤销的</w:t>
      </w:r>
      <w:r>
        <w:rPr>
          <w:rFonts w:ascii="Arial" w:hAnsi="Arial" w:cs="Arial"/>
          <w:szCs w:val="21"/>
        </w:rPr>
        <w:t xml:space="preserve">全权。兹确认（贸易公司名称）或其正式授权代表依此合法地办理一切事宜。</w:t>
      </w:r>
      <w:r>
        <w:rPr>
          <w:rFonts w:ascii="Arial" w:hAnsi="Arial" w:cs="Arial"/>
          <w:szCs w:val="21"/>
        </w:rPr>
      </w:r>
      <w:r/>
    </w:p>
    <w:p>
      <w:pPr>
        <w:pStyle w:val="1275"/>
        <w:ind w:firstLine="480"/>
        <w:spacing w:line="360" w:lineRule="auto"/>
        <w:rPr>
          <w:rFonts w:ascii="Arial" w:hAnsi="Arial" w:cs="Arial"/>
          <w:szCs w:val="21"/>
        </w:rPr>
      </w:pPr>
      <w:r>
        <w:rPr>
          <w:rFonts w:ascii="Arial" w:hAnsi="Arial" w:cs="Arial"/>
          <w:szCs w:val="21"/>
        </w:rPr>
        <w:t xml:space="preserve">我方于年月日签署本文件，（贸易公司名称）于年月日接受此件，以此为证。</w:t>
      </w:r>
      <w:r>
        <w:rPr>
          <w:rFonts w:ascii="Arial" w:hAnsi="Arial" w:cs="Arial"/>
          <w:szCs w:val="21"/>
        </w:rPr>
      </w:r>
      <w:r/>
    </w:p>
    <w:p>
      <w:pPr>
        <w:pStyle w:val="1275"/>
        <w:ind w:firstLine="480"/>
        <w:spacing w:line="360" w:lineRule="auto"/>
        <w:rPr>
          <w:rFonts w:ascii="Arial" w:hAnsi="Arial" w:cs="Arial"/>
          <w:szCs w:val="21"/>
        </w:rPr>
      </w:pPr>
      <w:r>
        <w:rPr>
          <w:rFonts w:ascii="Arial" w:hAnsi="Arial" w:cs="Arial"/>
          <w:szCs w:val="21"/>
        </w:rPr>
      </w:r>
      <w:r/>
    </w:p>
    <w:p>
      <w:pPr>
        <w:pStyle w:val="1275"/>
        <w:spacing w:line="360" w:lineRule="auto"/>
        <w:rPr>
          <w:rFonts w:hint="eastAsia" w:ascii="Arial" w:hAnsi="Arial" w:cs="Arial"/>
          <w:szCs w:val="21"/>
        </w:rPr>
      </w:pPr>
      <w:r>
        <w:rPr>
          <w:rFonts w:ascii="Arial" w:hAnsi="Arial" w:cs="Arial"/>
          <w:szCs w:val="21"/>
        </w:rPr>
        <w:t xml:space="preserve">制造商名称（盖章）</w:t>
      </w:r>
      <w:r>
        <w:rPr>
          <w:rFonts w:hint="eastAsia" w:ascii="Arial" w:hAnsi="Arial" w:cs="Arial"/>
          <w:szCs w:val="21"/>
        </w:rPr>
        <w:t xml:space="preserve">：</w:t>
      </w:r>
      <w:r>
        <w:rPr>
          <w:rFonts w:hint="eastAsia" w:ascii="Arial" w:hAnsi="Arial" w:cs="Arial"/>
          <w:szCs w:val="21"/>
        </w:rPr>
      </w:r>
      <w:r/>
    </w:p>
    <w:p>
      <w:pPr>
        <w:pStyle w:val="1275"/>
        <w:spacing w:line="360" w:lineRule="auto"/>
        <w:rPr>
          <w:rFonts w:hint="eastAsia" w:ascii="Arial" w:hAnsi="Arial" w:cs="Arial"/>
          <w:szCs w:val="21"/>
        </w:rPr>
      </w:pPr>
      <w:r>
        <w:rPr>
          <w:rFonts w:ascii="Arial" w:hAnsi="Arial" w:cs="Arial"/>
          <w:szCs w:val="21"/>
        </w:rPr>
        <w:t xml:space="preserve">签字人姓名</w:t>
      </w:r>
      <w:r>
        <w:rPr>
          <w:rFonts w:hint="eastAsia" w:ascii="Arial" w:hAnsi="Arial" w:cs="Arial"/>
          <w:szCs w:val="21"/>
        </w:rPr>
        <w:t xml:space="preserve">（签名）：</w:t>
      </w:r>
      <w:r>
        <w:rPr>
          <w:rFonts w:hint="eastAsia" w:ascii="Arial" w:hAnsi="Arial" w:cs="Arial"/>
          <w:szCs w:val="21"/>
        </w:rPr>
      </w:r>
      <w:r/>
    </w:p>
    <w:p>
      <w:pPr>
        <w:pStyle w:val="1275"/>
        <w:ind w:left="-2" w:right="-5"/>
        <w:spacing w:line="360" w:lineRule="auto"/>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b/>
        </w:rPr>
      </w:pPr>
      <w:r>
        <w:rPr>
          <w:rFonts w:ascii="Arial" w:hAnsi="Arial" w:cs="Arial"/>
          <w:b/>
        </w:rPr>
      </w:r>
      <w:r/>
    </w:p>
    <w:p>
      <w:pPr>
        <w:pStyle w:val="1275"/>
        <w:spacing w:line="440" w:lineRule="exact"/>
        <w:rPr>
          <w:rFonts w:ascii="Arial" w:hAnsi="Arial" w:cs="Arial"/>
          <w:b/>
        </w:rPr>
      </w:pPr>
      <w:r>
        <w:rPr>
          <w:rFonts w:ascii="Arial" w:hAnsi="Arial" w:cs="Arial"/>
          <w:b/>
        </w:rPr>
      </w:r>
      <w:r/>
    </w:p>
    <w:p>
      <w:pPr>
        <w:pStyle w:val="1275"/>
        <w:spacing w:line="440" w:lineRule="exact"/>
        <w:rPr>
          <w:rFonts w:ascii="Arial" w:hAnsi="Arial" w:cs="Arial"/>
          <w:b/>
        </w:rPr>
      </w:pPr>
      <w:r>
        <w:rPr>
          <w:rFonts w:ascii="Arial" w:hAnsi="Arial" w:cs="Arial"/>
          <w:b/>
        </w:rPr>
      </w:r>
      <w:r/>
    </w:p>
    <w:p>
      <w:pPr>
        <w:pStyle w:val="1275"/>
        <w:spacing w:line="440" w:lineRule="exact"/>
        <w:rPr>
          <w:rFonts w:ascii="Arial" w:hAnsi="Arial" w:cs="Arial"/>
          <w:b/>
        </w:rPr>
      </w:pPr>
      <w:r>
        <w:rPr>
          <w:rFonts w:ascii="Arial" w:hAnsi="Arial" w:cs="Arial"/>
          <w:b/>
        </w:rPr>
      </w:r>
      <w:r/>
    </w:p>
    <w:p>
      <w:pPr>
        <w:pStyle w:val="1275"/>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5"/>
        <w:jc w:val="left"/>
        <w:spacing w:line="360" w:lineRule="auto"/>
        <w:rPr>
          <w:rFonts w:ascii="Arial" w:hAnsi="Arial" w:cs="Arial"/>
          <w:b/>
          <w:bCs/>
          <w:szCs w:val="21"/>
          <w:lang w:val="zh-CN"/>
        </w:rPr>
        <w:outlineLvl w:val="2"/>
      </w:pPr>
      <w:r/>
      <w:bookmarkStart w:id="334" w:name="_Toc3078"/>
      <w:r/>
      <w:bookmarkStart w:id="335" w:name="_Toc24273"/>
      <w:r/>
      <w:bookmarkStart w:id="336" w:name="_Toc10022"/>
      <w:r>
        <w:rPr>
          <w:rFonts w:hint="eastAsia" w:ascii="宋体" w:hAnsi="宋体" w:cs="宋体"/>
          <w:b/>
          <w:bCs/>
          <w:szCs w:val="21"/>
          <w:lang w:val="zh-CN"/>
        </w:rPr>
        <w:t xml:space="preserve">4、</w:t>
      </w:r>
      <w:r>
        <w:rPr>
          <w:rFonts w:hint="eastAsia" w:ascii="Arial" w:hAnsi="Arial" w:cs="Arial"/>
          <w:b/>
          <w:bCs/>
          <w:szCs w:val="21"/>
          <w:lang w:val="zh-CN"/>
        </w:rPr>
        <w:t xml:space="preserve">具有良好的商业信誉和健全的财务会计制度</w:t>
      </w:r>
      <w:bookmarkEnd w:id="334"/>
      <w:r/>
      <w:bookmarkEnd w:id="335"/>
      <w:r/>
      <w:bookmarkEnd w:id="336"/>
      <w:r>
        <w:rPr>
          <w:rFonts w:ascii="Arial" w:hAnsi="Arial" w:cs="Arial"/>
          <w:b/>
          <w:bCs/>
          <w:szCs w:val="21"/>
          <w:lang w:val="zh-CN"/>
        </w:rPr>
      </w:r>
      <w:r/>
    </w:p>
    <w:p>
      <w:pPr>
        <w:pStyle w:val="1275"/>
        <w:ind w:left="-2" w:right="-5"/>
        <w:spacing w:line="440" w:lineRule="exact"/>
        <w:rPr>
          <w:rFonts w:ascii="Arial" w:hAnsi="Arial" w:cs="Arial"/>
          <w:sz w:val="24"/>
        </w:rPr>
      </w:pPr>
      <w:r>
        <w:rPr>
          <w:rFonts w:ascii="Arial" w:hAnsi="Arial" w:cs="Arial"/>
          <w:sz w:val="24"/>
        </w:rPr>
      </w:r>
      <w:r/>
    </w:p>
    <w:p>
      <w:pPr>
        <w:pStyle w:val="1275"/>
        <w:jc w:val="left"/>
        <w:spacing w:line="360" w:lineRule="auto"/>
        <w:rPr>
          <w:rFonts w:ascii="Arial" w:hAnsi="Arial" w:cs="Arial"/>
          <w:szCs w:val="21"/>
          <w:lang w:val="zh-CN"/>
        </w:rPr>
      </w:pPr>
      <w:r>
        <w:rPr>
          <w:rFonts w:hint="eastAsia" w:ascii="Arial" w:hAnsi="Arial" w:cs="Arial"/>
          <w:szCs w:val="21"/>
          <w:lang w:val="zh-CN"/>
        </w:rPr>
        <w:t xml:space="preserve">提供距开标时间六个月内任意一月份的财务状况报告（</w:t>
      </w:r>
      <w:r>
        <w:rPr>
          <w:rFonts w:hint="eastAsia" w:ascii="Arial" w:hAnsi="Arial" w:cs="Arial"/>
          <w:szCs w:val="21"/>
          <w:u w:val="single"/>
          <w:lang w:val="zh-CN"/>
        </w:rPr>
        <w:t xml:space="preserve">至少包括资产负债表和利润表</w:t>
      </w:r>
      <w:r>
        <w:rPr>
          <w:rFonts w:hint="eastAsia" w:ascii="Arial" w:hAnsi="Arial" w:cs="Arial"/>
          <w:szCs w:val="21"/>
          <w:lang w:val="zh-CN"/>
        </w:rPr>
        <w:t xml:space="preserve">）（法人或者其他组织成立未满三个月的可以不提供），或其银行出具的资信证书（复印件）（开标前六个月内），或其上一年度</w:t>
      </w:r>
      <w:r>
        <w:rPr>
          <w:rFonts w:hint="eastAsia" w:ascii="宋体" w:cs="宋体"/>
          <w:szCs w:val="21"/>
        </w:rPr>
        <w:t xml:space="preserve">（2024或2025年度）</w:t>
      </w:r>
      <w:r>
        <w:rPr>
          <w:rFonts w:hint="eastAsia" w:ascii="Arial" w:hAnsi="Arial" w:cs="Arial"/>
          <w:szCs w:val="21"/>
          <w:lang w:val="zh-CN"/>
        </w:rPr>
        <w:t xml:space="preserve">经审计的财务报告复印件加盖公章</w:t>
      </w:r>
      <w:r>
        <w:rPr>
          <w:rFonts w:ascii="Arial" w:hAnsi="Arial" w:cs="Arial"/>
          <w:szCs w:val="21"/>
          <w:lang w:val="zh-CN"/>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275"/>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275"/>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275"/>
        <w:ind w:left="-2" w:right="-5"/>
        <w:spacing w:line="440" w:lineRule="exact"/>
        <w:rPr>
          <w:rFonts w:hint="eastAsia" w:ascii="宋体" w:hAnsi="宋体" w:cs="宋体"/>
          <w:szCs w:val="21"/>
        </w:rPr>
      </w:pPr>
      <w:r>
        <w:rPr>
          <w:rFonts w:hint="eastAsia" w:ascii="宋体" w:hAnsi="宋体" w:cs="宋体"/>
          <w:szCs w:val="21"/>
        </w:rPr>
        <w:t xml:space="preserve">1、审计报告复印件至少应包括资产负债表、利润表、现金流量表及其附注、加盖会计师事务所公章页。 </w:t>
      </w:r>
      <w:r>
        <w:rPr>
          <w:rFonts w:hint="eastAsia" w:ascii="宋体" w:hAnsi="宋体" w:cs="宋体"/>
          <w:szCs w:val="21"/>
        </w:rPr>
      </w:r>
      <w:r/>
    </w:p>
    <w:p>
      <w:pPr>
        <w:pStyle w:val="1275"/>
        <w:ind w:left="-2" w:right="-5"/>
        <w:spacing w:line="440" w:lineRule="exact"/>
        <w:rPr>
          <w:rFonts w:hint="eastAsia" w:ascii="宋体" w:hAnsi="宋体" w:cs="宋体"/>
          <w:szCs w:val="21"/>
        </w:rPr>
      </w:pPr>
      <w:r>
        <w:rPr>
          <w:rFonts w:hint="eastAsia" w:ascii="宋体" w:hAnsi="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cs="宋体"/>
          <w:szCs w:val="21"/>
        </w:rPr>
      </w:r>
      <w:r/>
    </w:p>
    <w:p>
      <w:pPr>
        <w:pStyle w:val="1275"/>
        <w:ind w:left="-2" w:right="-5"/>
        <w:spacing w:line="440" w:lineRule="exact"/>
        <w:rPr>
          <w:rFonts w:hint="eastAsia" w:ascii="宋体" w:hAnsi="宋体" w:cs="宋体"/>
          <w:szCs w:val="21"/>
        </w:rPr>
      </w:pPr>
      <w:r>
        <w:rPr>
          <w:rFonts w:hint="eastAsia" w:ascii="宋体" w:hAnsi="宋体" w:cs="宋体"/>
          <w:szCs w:val="21"/>
        </w:rPr>
        <w:t xml:space="preserve">3、银行资信证明可以是复印件并加盖投标人公章，评标委员会保留审核原件的权利。 </w:t>
      </w:r>
      <w:r>
        <w:rPr>
          <w:rFonts w:hint="eastAsia" w:ascii="宋体" w:hAnsi="宋体" w:cs="宋体"/>
          <w:szCs w:val="21"/>
        </w:rPr>
      </w:r>
      <w:r/>
    </w:p>
    <w:p>
      <w:pPr>
        <w:pStyle w:val="1275"/>
        <w:ind w:left="-2" w:right="-5"/>
        <w:spacing w:line="440" w:lineRule="exact"/>
        <w:rPr>
          <w:rFonts w:hint="eastAsia" w:ascii="宋体" w:hAnsi="宋体" w:cs="宋体"/>
          <w:szCs w:val="21"/>
        </w:rPr>
      </w:pPr>
      <w:r>
        <w:rPr>
          <w:rFonts w:hint="eastAsia" w:ascii="宋体" w:hAnsi="宋体" w:cs="宋体"/>
          <w:szCs w:val="21"/>
        </w:rPr>
        <w:t xml:space="preserve">4、银行资信证明应能说明该投标人与银行之间业务往来正常，无不良记录，企业信誉良好等。</w:t>
      </w:r>
      <w:r>
        <w:rPr>
          <w:rFonts w:hint="eastAsia" w:ascii="宋体" w:hAnsi="宋体" w:cs="宋体"/>
          <w:color w:val="ff0000"/>
          <w:szCs w:val="21"/>
        </w:rPr>
        <w:t xml:space="preserve">银行出具的存款证明不能作为银行资信证明。 </w:t>
      </w:r>
      <w:r>
        <w:rPr>
          <w:rFonts w:hint="eastAsia" w:ascii="宋体" w:hAnsi="宋体" w:cs="宋体"/>
          <w:szCs w:val="21"/>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5"/>
        <w:jc w:val="left"/>
        <w:spacing w:line="360" w:lineRule="auto"/>
        <w:rPr>
          <w:rFonts w:ascii="Arial" w:hAnsi="Arial" w:cs="Arial"/>
          <w:b/>
          <w:bCs/>
          <w:szCs w:val="21"/>
          <w:lang w:val="zh-CN"/>
        </w:rPr>
        <w:outlineLvl w:val="2"/>
      </w:pPr>
      <w:r/>
      <w:bookmarkStart w:id="337" w:name="_Toc15262"/>
      <w:r/>
      <w:bookmarkStart w:id="338" w:name="_Toc23961"/>
      <w:r/>
      <w:bookmarkStart w:id="339" w:name="_Toc9311"/>
      <w:r>
        <w:rPr>
          <w:rFonts w:hint="eastAsia" w:ascii="宋体" w:hAnsi="宋体" w:cs="宋体"/>
          <w:b/>
          <w:bCs/>
          <w:szCs w:val="21"/>
        </w:rPr>
        <w:t xml:space="preserve">5、</w:t>
      </w:r>
      <w:r>
        <w:rPr>
          <w:rFonts w:hint="eastAsia" w:ascii="宋体" w:hAnsi="宋体" w:cs="宋体"/>
          <w:b/>
          <w:bCs/>
          <w:szCs w:val="21"/>
          <w:lang w:val="zh-CN"/>
        </w:rPr>
        <w:t xml:space="preserve">具</w:t>
      </w:r>
      <w:r>
        <w:rPr>
          <w:rFonts w:hint="eastAsia" w:ascii="Arial" w:hAnsi="Arial" w:cs="Arial"/>
          <w:b/>
          <w:bCs/>
          <w:szCs w:val="21"/>
          <w:lang w:val="zh-CN"/>
        </w:rPr>
        <w:t xml:space="preserve">有履行合同所必需的设备和专业技术能力</w:t>
      </w:r>
      <w:bookmarkEnd w:id="337"/>
      <w:r/>
      <w:bookmarkEnd w:id="338"/>
      <w:r/>
      <w:bookmarkEnd w:id="339"/>
      <w:r>
        <w:rPr>
          <w:rFonts w:ascii="Arial" w:hAnsi="Arial" w:cs="Arial"/>
          <w:b/>
          <w:bCs/>
          <w:szCs w:val="21"/>
          <w:lang w:val="zh-CN"/>
        </w:rPr>
      </w:r>
      <w:r/>
    </w:p>
    <w:p>
      <w:pPr>
        <w:pStyle w:val="1275"/>
        <w:jc w:val="left"/>
        <w:spacing w:line="440" w:lineRule="exact"/>
      </w:pPr>
      <w:r>
        <w:rPr>
          <w:rFonts w:hint="eastAsia"/>
        </w:rPr>
        <w:t xml:space="preserve">根据项目需求提供履行合同所必需的设备和专业技术能力的证明材料或相关加盖公章的承诺函，承诺函自行编写</w:t>
      </w:r>
      <w:r/>
    </w:p>
    <w:p>
      <w:pPr>
        <w:pStyle w:val="1275"/>
        <w:jc w:val="left"/>
        <w:spacing w:line="440" w:lineRule="exact"/>
      </w:pPr>
      <w:r/>
      <w:r/>
    </w:p>
    <w:p>
      <w:pPr>
        <w:pStyle w:val="1275"/>
        <w:jc w:val="left"/>
        <w:spacing w:line="440" w:lineRule="exact"/>
      </w:pPr>
      <w:r>
        <w:t xml:space="preserve">承诺函参考格式：</w:t>
      </w:r>
      <w:r/>
    </w:p>
    <w:p>
      <w:pPr>
        <w:pStyle w:val="1313"/>
        <w:ind w:firstLine="211"/>
        <w:jc w:val="center"/>
        <w:rPr>
          <w:b/>
          <w:sz w:val="21"/>
        </w:rPr>
      </w:pPr>
      <w:r>
        <w:rPr>
          <w:b/>
          <w:sz w:val="21"/>
        </w:rPr>
        <w:t xml:space="preserve">承诺函</w:t>
      </w:r>
      <w:r>
        <w:rPr>
          <w:b/>
          <w:sz w:val="21"/>
        </w:rPr>
      </w:r>
      <w:r/>
    </w:p>
    <w:p>
      <w:pPr>
        <w:pStyle w:val="1313"/>
        <w:ind w:firstLine="210"/>
        <w:rPr>
          <w:sz w:val="21"/>
        </w:rPr>
      </w:pPr>
      <w:r>
        <w:rPr>
          <w:sz w:val="21"/>
        </w:rPr>
      </w:r>
      <w:r/>
    </w:p>
    <w:p>
      <w:pPr>
        <w:pStyle w:val="131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275"/>
        <w:jc w:val="left"/>
        <w:spacing w:line="440" w:lineRule="exact"/>
        <w:rPr>
          <w:rFonts w:ascii="Arial" w:hAnsi="Arial" w:cs="Arial"/>
          <w:sz w:val="24"/>
          <w:szCs w:val="24"/>
        </w:rPr>
      </w:pPr>
      <w:r>
        <w:rPr>
          <w:rFonts w:ascii="Arial" w:hAnsi="Arial" w:cs="Arial"/>
          <w:sz w:val="24"/>
          <w:szCs w:val="24"/>
        </w:rPr>
      </w:r>
      <w:r/>
    </w:p>
    <w:p>
      <w:pPr>
        <w:pStyle w:val="1275"/>
        <w:jc w:val="left"/>
        <w:spacing w:line="440" w:lineRule="exact"/>
        <w:rPr>
          <w:rFonts w:ascii="Arial" w:hAnsi="Arial" w:cs="Arial"/>
          <w:sz w:val="24"/>
          <w:szCs w:val="24"/>
        </w:rPr>
      </w:pPr>
      <w:r>
        <w:rPr>
          <w:rFonts w:ascii="Arial" w:hAnsi="Arial" w:cs="Arial"/>
          <w:sz w:val="24"/>
          <w:szCs w:val="24"/>
        </w:rPr>
      </w:r>
      <w:r/>
    </w:p>
    <w:p>
      <w:pPr>
        <w:pStyle w:val="1275"/>
        <w:jc w:val="left"/>
        <w:spacing w:line="440" w:lineRule="exact"/>
        <w:rPr>
          <w:rFonts w:ascii="Arial" w:hAnsi="Arial" w:cs="Arial"/>
          <w:sz w:val="24"/>
          <w:szCs w:val="24"/>
        </w:rPr>
      </w:pPr>
      <w:r>
        <w:rPr>
          <w:rFonts w:ascii="Arial" w:hAnsi="Arial" w:cs="Arial"/>
          <w:sz w:val="24"/>
          <w:szCs w:val="24"/>
        </w:rPr>
      </w:r>
      <w:r/>
    </w:p>
    <w:p>
      <w:pPr>
        <w:pStyle w:val="1275"/>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275"/>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275"/>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1275"/>
        <w:jc w:val="left"/>
        <w:spacing w:line="440" w:lineRule="exact"/>
        <w:rPr>
          <w:rFonts w:ascii="Arial" w:hAnsi="Arial" w:cs="Arial"/>
          <w:sz w:val="24"/>
          <w:szCs w:val="24"/>
        </w:rPr>
      </w:pPr>
      <w:r>
        <w:rPr>
          <w:rFonts w:ascii="Arial" w:hAnsi="Arial" w:cs="Arial"/>
          <w:sz w:val="24"/>
          <w:szCs w:val="24"/>
        </w:rPr>
      </w:r>
      <w:r/>
    </w:p>
    <w:p>
      <w:pPr>
        <w:pStyle w:val="1275"/>
        <w:jc w:val="left"/>
        <w:spacing w:line="440" w:lineRule="exact"/>
        <w:rPr>
          <w:rFonts w:ascii="Arial" w:hAnsi="Arial" w:cs="Arial"/>
          <w:sz w:val="24"/>
          <w:szCs w:val="24"/>
        </w:rPr>
      </w:pPr>
      <w:r>
        <w:rPr>
          <w:rFonts w:ascii="Arial" w:hAnsi="Arial" w:cs="Arial"/>
          <w:sz w:val="24"/>
          <w:szCs w:val="24"/>
        </w:rPr>
      </w:r>
      <w:r/>
    </w:p>
    <w:p>
      <w:pPr>
        <w:pStyle w:val="1275"/>
        <w:jc w:val="left"/>
        <w:spacing w:line="440" w:lineRule="exact"/>
        <w:rPr>
          <w:rFonts w:ascii="Arial" w:hAnsi="Arial" w:cs="Arial"/>
          <w:sz w:val="24"/>
          <w:szCs w:val="24"/>
        </w:rPr>
      </w:pPr>
      <w:r>
        <w:rPr>
          <w:rFonts w:ascii="Arial" w:hAnsi="Arial" w:cs="Arial"/>
          <w:sz w:val="24"/>
          <w:szCs w:val="24"/>
        </w:rPr>
      </w:r>
      <w:r/>
    </w:p>
    <w:p>
      <w:pPr>
        <w:pStyle w:val="1275"/>
        <w:jc w:val="left"/>
        <w:spacing w:line="440" w:lineRule="exact"/>
        <w:rPr>
          <w:rFonts w:ascii="Arial" w:hAnsi="Arial" w:cs="Arial"/>
          <w:sz w:val="24"/>
          <w:szCs w:val="24"/>
        </w:rPr>
      </w:pPr>
      <w:r>
        <w:rPr>
          <w:rFonts w:ascii="Arial" w:hAnsi="Arial" w:cs="Arial"/>
          <w:sz w:val="24"/>
          <w:szCs w:val="24"/>
        </w:rPr>
      </w:r>
      <w:r/>
    </w:p>
    <w:p>
      <w:pPr>
        <w:pStyle w:val="1275"/>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5"/>
        <w:jc w:val="left"/>
        <w:spacing w:line="360" w:lineRule="auto"/>
        <w:rPr>
          <w:rFonts w:ascii="Arial" w:hAnsi="Arial" w:cs="Arial"/>
          <w:b/>
          <w:bCs/>
          <w:szCs w:val="21"/>
        </w:rPr>
        <w:outlineLvl w:val="2"/>
      </w:pPr>
      <w:r/>
      <w:bookmarkStart w:id="340" w:name="_Toc1099"/>
      <w:r/>
      <w:bookmarkStart w:id="341" w:name="_Toc17836"/>
      <w:r/>
      <w:bookmarkStart w:id="342" w:name="_Toc10625"/>
      <w:r>
        <w:rPr>
          <w:rFonts w:hint="eastAsia" w:ascii="宋体" w:hAnsi="宋体" w:cs="宋体"/>
          <w:b/>
          <w:bCs/>
          <w:szCs w:val="21"/>
        </w:rPr>
        <w:t xml:space="preserve">6、</w:t>
      </w:r>
      <w:r>
        <w:rPr>
          <w:rFonts w:hint="eastAsia" w:ascii="Arial" w:hAnsi="Arial" w:cs="Arial"/>
          <w:b/>
          <w:bCs/>
          <w:szCs w:val="21"/>
        </w:rPr>
        <w:t xml:space="preserve">参加政府采购活动近三年内（成立时间不足三年的、自成立时间起），在经营活动中没有重大违法记录</w:t>
      </w:r>
      <w:bookmarkEnd w:id="340"/>
      <w:r/>
      <w:bookmarkEnd w:id="341"/>
      <w:r/>
      <w:bookmarkEnd w:id="342"/>
      <w:r>
        <w:rPr>
          <w:rFonts w:ascii="Arial" w:hAnsi="Arial" w:cs="Arial"/>
          <w:b/>
          <w:bCs/>
          <w:szCs w:val="21"/>
        </w:rPr>
      </w:r>
      <w:r/>
    </w:p>
    <w:p>
      <w:pPr>
        <w:pStyle w:val="1275"/>
        <w:jc w:val="center"/>
        <w:spacing w:line="440" w:lineRule="exact"/>
        <w:tabs>
          <w:tab w:val="left" w:pos="972" w:leader="none"/>
        </w:tabs>
        <w:rPr>
          <w:rFonts w:hint="eastAsia" w:ascii="Arial" w:hAnsi="Arial" w:cs="Arial"/>
          <w:b/>
          <w:bCs/>
          <w:sz w:val="24"/>
          <w:szCs w:val="24"/>
        </w:rPr>
      </w:pPr>
      <w:r>
        <w:rPr>
          <w:rFonts w:hint="eastAsia" w:ascii="Arial" w:hAnsi="Arial" w:cs="Arial"/>
          <w:b/>
          <w:bCs/>
          <w:sz w:val="24"/>
          <w:szCs w:val="24"/>
        </w:rPr>
      </w:r>
      <w:r/>
    </w:p>
    <w:p>
      <w:pPr>
        <w:pStyle w:val="1275"/>
        <w:spacing w:line="440" w:lineRule="exact"/>
        <w:tabs>
          <w:tab w:val="left" w:pos="972" w:leader="none"/>
        </w:tabs>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tab/>
      </w:r>
      <w:r>
        <w:rPr>
          <w:rFonts w:hint="eastAsia" w:ascii="宋体" w:hAnsi="宋体" w:cs="宋体"/>
          <w:szCs w:val="21"/>
        </w:rPr>
      </w:r>
      <w:r/>
    </w:p>
    <w:p>
      <w:pPr>
        <w:pStyle w:val="1275"/>
        <w:jc w:val="center"/>
        <w:rPr>
          <w:rFonts w:hint="eastAsia" w:ascii="宋体" w:hAnsi="宋体" w:cs="宋体"/>
          <w:b/>
          <w:szCs w:val="21"/>
        </w:rPr>
      </w:pPr>
      <w:r>
        <w:rPr>
          <w:rFonts w:hint="eastAsia" w:ascii="宋体" w:hAnsi="宋体" w:cs="宋体"/>
          <w:b/>
          <w:szCs w:val="21"/>
        </w:rPr>
        <w:t xml:space="preserve">无重大违法记录声明</w:t>
      </w:r>
      <w:r>
        <w:rPr>
          <w:rFonts w:hint="eastAsia" w:ascii="宋体" w:hAnsi="宋体" w:cs="宋体"/>
          <w:b/>
          <w:szCs w:val="21"/>
        </w:rPr>
      </w:r>
      <w:r/>
    </w:p>
    <w:p>
      <w:pPr>
        <w:pStyle w:val="1275"/>
        <w:rPr>
          <w:rFonts w:hint="eastAsia" w:ascii="宋体" w:hAnsi="宋体" w:cs="宋体"/>
          <w:sz w:val="30"/>
          <w:szCs w:val="30"/>
        </w:rPr>
      </w:pPr>
      <w:r>
        <w:rPr>
          <w:rFonts w:hint="eastAsia" w:ascii="宋体" w:hAnsi="宋体" w:cs="宋体"/>
          <w:sz w:val="30"/>
          <w:szCs w:val="30"/>
        </w:rPr>
      </w:r>
      <w:r/>
    </w:p>
    <w:p>
      <w:pPr>
        <w:pStyle w:val="1275"/>
        <w:ind w:firstLine="420"/>
        <w:spacing w:line="360" w:lineRule="auto"/>
        <w:rPr>
          <w:rFonts w:hint="eastAsia" w:ascii="宋体" w:hAnsi="宋体" w:cs="宋体"/>
        </w:rPr>
      </w:pPr>
      <w:r>
        <w:rPr>
          <w:rFonts w:hint="eastAsia" w:ascii="宋体" w:hAnsi="宋体" w:cs="宋体"/>
          <w:szCs w:val="21"/>
        </w:rPr>
        <w:t xml:space="preserve">江苏苏美达仪器设备有限公司</w:t>
      </w:r>
      <w:r>
        <w:rPr>
          <w:rFonts w:hint="eastAsia" w:ascii="宋体" w:hAnsi="宋体" w:cs="宋体"/>
        </w:rPr>
        <w:t xml:space="preserve">：</w:t>
      </w:r>
      <w:r>
        <w:rPr>
          <w:rFonts w:hint="eastAsia" w:ascii="宋体" w:hAnsi="宋体" w:cs="宋体"/>
        </w:rPr>
      </w:r>
      <w:r/>
    </w:p>
    <w:p>
      <w:pPr>
        <w:pStyle w:val="1275"/>
        <w:ind w:firstLine="420"/>
        <w:spacing w:line="360" w:lineRule="auto"/>
        <w:rPr>
          <w:rFonts w:hint="eastAsia" w:ascii="宋体" w:hAnsi="宋体" w:cs="宋体"/>
        </w:rPr>
      </w:pPr>
      <w:r>
        <w:rPr>
          <w:rFonts w:hint="eastAsia" w:ascii="宋体" w:hAnsi="宋体" w:cs="宋体"/>
        </w:rPr>
      </w:r>
      <w:r/>
    </w:p>
    <w:p>
      <w:pPr>
        <w:pStyle w:val="1275"/>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rPr>
          <w:rFonts w:hint="eastAsia" w:ascii="宋体" w:hAnsi="宋体" w:cs="宋体"/>
        </w:rPr>
      </w:r>
      <w:r/>
    </w:p>
    <w:p>
      <w:pPr>
        <w:pStyle w:val="1275"/>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u w:val="single"/>
        </w:rPr>
        <w:t xml:space="preserve">没有</w:t>
      </w:r>
      <w:r>
        <w:rPr>
          <w:rFonts w:hint="eastAsia" w:ascii="宋体" w:hAnsi="宋体" w:cs="宋体"/>
        </w:rPr>
        <w:t xml:space="preserve">）重大违法记录。</w:t>
      </w:r>
      <w:r>
        <w:rPr>
          <w:rFonts w:hint="eastAsia" w:ascii="宋体" w:hAnsi="宋体" w:cs="宋体"/>
        </w:rPr>
      </w:r>
      <w:r/>
    </w:p>
    <w:p>
      <w:pPr>
        <w:pStyle w:val="1275"/>
        <w:spacing w:line="440" w:lineRule="exact"/>
        <w:rPr>
          <w:rFonts w:hint="eastAsia" w:ascii="宋体" w:hAnsi="宋体" w:cs="宋体"/>
          <w:sz w:val="24"/>
          <w:szCs w:val="24"/>
        </w:rPr>
      </w:pPr>
      <w:r>
        <w:rPr>
          <w:rFonts w:hint="eastAsia" w:ascii="宋体" w:hAnsi="宋体" w:cs="宋体"/>
        </w:rPr>
        <w:t xml:space="preserve">    （说明：重大违法记录，是指供应商因违法经营受到刑事处罚或者责令停产停业、吊销许可证或者执照、较大数额罚款等行政处罚。）</w:t>
      </w:r>
      <w:r>
        <w:rPr>
          <w:rFonts w:hint="eastAsia" w:ascii="宋体" w:hAnsi="宋体" w:cs="宋体"/>
          <w:sz w:val="24"/>
          <w:szCs w:val="24"/>
        </w:rPr>
      </w:r>
      <w:r/>
    </w:p>
    <w:p>
      <w:pPr>
        <w:pStyle w:val="1275"/>
        <w:jc w:val="left"/>
        <w:spacing w:line="440" w:lineRule="exact"/>
        <w:rPr>
          <w:rFonts w:hint="eastAsia" w:ascii="宋体" w:hAnsi="宋体" w:cs="宋体"/>
          <w:sz w:val="24"/>
          <w:szCs w:val="24"/>
        </w:rPr>
      </w:pPr>
      <w:r>
        <w:rPr>
          <w:rFonts w:hint="eastAsia" w:ascii="宋体" w:hAnsi="宋体" w:cs="宋体"/>
          <w:sz w:val="24"/>
          <w:szCs w:val="24"/>
        </w:rPr>
      </w:r>
      <w:r/>
    </w:p>
    <w:p>
      <w:pPr>
        <w:pStyle w:val="1275"/>
        <w:jc w:val="left"/>
        <w:spacing w:line="440" w:lineRule="exact"/>
        <w:rPr>
          <w:rFonts w:hint="eastAsia" w:ascii="宋体" w:hAnsi="宋体" w:cs="宋体"/>
          <w:sz w:val="24"/>
          <w:szCs w:val="24"/>
        </w:rPr>
      </w:pPr>
      <w:r>
        <w:rPr>
          <w:rFonts w:hint="eastAsia" w:ascii="宋体" w:hAnsi="宋体" w:cs="宋体"/>
          <w:sz w:val="24"/>
          <w:szCs w:val="24"/>
        </w:rPr>
      </w:r>
      <w:r/>
    </w:p>
    <w:p>
      <w:pPr>
        <w:pStyle w:val="1275"/>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75"/>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275"/>
        <w:spacing w:line="440" w:lineRule="exact"/>
        <w:rPr>
          <w:rFonts w:hint="eastAsia" w:ascii="宋体" w:hAnsi="宋体" w:cs="宋体"/>
          <w:sz w:val="24"/>
          <w:szCs w:val="24"/>
        </w:rPr>
      </w:pPr>
      <w:r>
        <w:rPr>
          <w:rFonts w:hint="eastAsia" w:ascii="宋体" w:hAnsi="宋体" w:cs="宋体"/>
          <w:sz w:val="24"/>
          <w:szCs w:val="24"/>
        </w:rPr>
      </w:r>
      <w:r/>
    </w:p>
    <w:p>
      <w:pPr>
        <w:pStyle w:val="1275"/>
        <w:spacing w:line="440" w:lineRule="exact"/>
        <w:rPr>
          <w:rFonts w:hint="eastAsia" w:ascii="宋体" w:hAnsi="宋体" w:cs="宋体"/>
          <w:szCs w:val="21"/>
        </w:rPr>
      </w:pP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fldChar w:fldCharType="begin"/>
      </w:r>
      <w:r>
        <w:rPr>
          <w:rFonts w:hint="eastAsia" w:ascii="宋体" w:hAnsi="宋体" w:cs="宋体"/>
          <w:szCs w:val="21"/>
        </w:rPr>
        <w:instrText xml:space="preserve"> HYPERLINK "http://www.creditchina.gov.cn/" \h </w:instrText>
      </w:r>
      <w:r>
        <w:rPr>
          <w:rFonts w:hint="eastAsia" w:ascii="宋体" w:hAnsi="宋体" w:cs="宋体"/>
          <w:szCs w:val="21"/>
        </w:rP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政府采购严重违法失信行为信息记录（</w:t>
      </w:r>
      <w:r>
        <w:rPr>
          <w:rFonts w:hint="eastAsia" w:ascii="宋体" w:hAnsi="宋体" w:cs="宋体"/>
          <w:szCs w:val="21"/>
        </w:rPr>
        <w:fldChar w:fldCharType="begin"/>
      </w:r>
      <w:r>
        <w:rPr>
          <w:rFonts w:hint="eastAsia" w:ascii="宋体" w:hAnsi="宋体" w:cs="宋体"/>
          <w:szCs w:val="21"/>
        </w:rPr>
        <w:instrText xml:space="preserve"> HYPERLINK "http://www.ccgp.gov.cn/cr/list" \h </w:instrText>
      </w:r>
      <w:r>
        <w:rPr>
          <w:rFonts w:hint="eastAsia" w:ascii="宋体" w:hAnsi="宋体" w:cs="宋体"/>
          <w:szCs w:val="21"/>
        </w:rPr>
        <w:fldChar w:fldCharType="separate"/>
      </w:r>
      <w:r>
        <w:rPr>
          <w:rFonts w:hint="eastAsia" w:ascii="宋体" w:hAnsi="宋体" w:cs="宋体"/>
          <w:szCs w:val="21"/>
        </w:rPr>
        <w:t xml:space="preserve">http://www.ccgp.gov.cn/cr/list</w:t>
      </w:r>
      <w:r>
        <w:rPr>
          <w:rFonts w:hint="eastAsia" w:ascii="宋体" w:hAnsi="宋体" w:cs="宋体"/>
          <w:szCs w:val="21"/>
        </w:rPr>
        <w:fldChar w:fldCharType="end"/>
      </w:r>
      <w:r>
        <w:rPr>
          <w:rFonts w:hint="eastAsia" w:ascii="宋体" w:hAnsi="宋体" w:cs="宋体"/>
          <w:szCs w:val="21"/>
        </w:rPr>
        <w:t xml:space="preserve">）； </w:t>
      </w: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2、信用信息查询截止时点：提交投标文件截止时间前。 </w:t>
      </w:r>
      <w:r>
        <w:rPr>
          <w:rFonts w:hint="eastAsia" w:ascii="宋体" w:hAnsi="宋体" w:cs="宋体"/>
          <w:szCs w:val="21"/>
        </w:rPr>
      </w:r>
      <w:r/>
    </w:p>
    <w:p>
      <w:pPr>
        <w:pStyle w:val="1275"/>
        <w:spacing w:line="440" w:lineRule="exact"/>
        <w:rPr>
          <w:rFonts w:ascii="Arial" w:hAnsi="Arial" w:cs="Arial"/>
          <w:sz w:val="24"/>
          <w:szCs w:val="24"/>
        </w:rPr>
      </w:pPr>
      <w:r>
        <w:rPr>
          <w:rFonts w:ascii="Arial" w:hAnsi="Arial" w:cs="Arial"/>
          <w:sz w:val="24"/>
          <w:szCs w:val="24"/>
        </w:rPr>
      </w:r>
      <w:r/>
    </w:p>
    <w:p>
      <w:pPr>
        <w:pStyle w:val="1275"/>
        <w:spacing w:line="440" w:lineRule="exact"/>
        <w:rPr>
          <w:rFonts w:ascii="Arial" w:hAnsi="Arial" w:cs="Arial"/>
          <w:sz w:val="24"/>
          <w:szCs w:val="24"/>
        </w:rPr>
      </w:pPr>
      <w:r>
        <w:rPr>
          <w:rFonts w:ascii="Arial" w:hAnsi="Arial" w:cs="Arial"/>
          <w:sz w:val="24"/>
          <w:szCs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ind w:left="-2" w:right="-5"/>
        <w:spacing w:line="440" w:lineRule="exact"/>
        <w:rPr>
          <w:rFonts w:ascii="Arial" w:hAnsi="Arial" w:cs="Arial"/>
          <w:sz w:val="24"/>
        </w:rPr>
      </w:pPr>
      <w:r>
        <w:rPr>
          <w:rFonts w:ascii="Arial" w:hAnsi="Arial" w:cs="Arial"/>
          <w:sz w:val="24"/>
        </w:rPr>
      </w:r>
      <w:r/>
    </w:p>
    <w:p>
      <w:pPr>
        <w:pStyle w:val="1275"/>
        <w:jc w:val="left"/>
        <w:spacing w:line="360" w:lineRule="auto"/>
        <w:rPr>
          <w:rFonts w:ascii="Arial" w:hAnsi="Arial" w:cs="Arial"/>
          <w:b/>
          <w:bCs/>
          <w:szCs w:val="21"/>
        </w:rPr>
        <w:outlineLvl w:val="2"/>
      </w:pPr>
      <w:r/>
      <w:bookmarkStart w:id="343" w:name="_Toc3968"/>
      <w:r/>
      <w:bookmarkStart w:id="344" w:name="_Toc13811"/>
      <w:r>
        <w:rPr>
          <w:rFonts w:hint="eastAsia" w:ascii="宋体" w:hAnsi="宋体" w:cs="宋体"/>
          <w:b/>
          <w:bCs/>
          <w:szCs w:val="21"/>
        </w:rPr>
        <w:br w:type="page" w:clear="all"/>
      </w:r>
      <w:bookmarkStart w:id="345" w:name="_Toc14757"/>
      <w:r>
        <w:rPr>
          <w:rFonts w:hint="eastAsia" w:ascii="宋体" w:hAnsi="宋体" w:cs="宋体"/>
          <w:b/>
          <w:bCs/>
          <w:szCs w:val="21"/>
        </w:rPr>
        <w:t xml:space="preserve">7、</w:t>
      </w:r>
      <w:r>
        <w:rPr>
          <w:rFonts w:hint="eastAsia" w:ascii="Arial" w:hAnsi="Arial" w:cs="Arial"/>
          <w:b/>
          <w:bCs/>
          <w:szCs w:val="21"/>
        </w:rPr>
        <w:t xml:space="preserve">依法缴纳税收的记录</w:t>
      </w:r>
      <w:bookmarkEnd w:id="343"/>
      <w:r/>
      <w:bookmarkEnd w:id="344"/>
      <w:r/>
      <w:bookmarkEnd w:id="345"/>
      <w:r>
        <w:rPr>
          <w:rFonts w:ascii="Arial" w:hAnsi="Arial" w:cs="Arial"/>
          <w:b/>
          <w:bCs/>
          <w:szCs w:val="21"/>
        </w:rPr>
      </w:r>
      <w:r/>
    </w:p>
    <w:p>
      <w:pPr>
        <w:pStyle w:val="1275"/>
        <w:spacing w:after="120" w:line="440" w:lineRule="exact"/>
        <w:rPr>
          <w:rFonts w:hint="eastAsia" w:ascii="宋体" w:hAnsi="宋体" w:cs="宋体"/>
          <w:b/>
          <w:u w:val="single"/>
        </w:rPr>
      </w:pPr>
      <w:r>
        <w:rPr>
          <w:rFonts w:hint="eastAsia" w:ascii="宋体" w:hAnsi="宋体" w:cs="宋体"/>
        </w:rPr>
        <w:t xml:space="preserve">1、提供距开标时间六个月内任意一月份的纳税凭据复印件加盖公章（依法免税的应提供相应文件说明）</w:t>
      </w:r>
      <w:r>
        <w:rPr>
          <w:rFonts w:hint="eastAsia" w:ascii="宋体" w:hAnsi="宋体" w:cs="宋体"/>
          <w:szCs w:val="21"/>
          <w:lang w:bidi="en-US"/>
        </w:rPr>
        <w:t xml:space="preserve">；</w:t>
      </w:r>
      <w:r>
        <w:rPr>
          <w:rFonts w:hint="eastAsia" w:ascii="宋体" w:hAnsi="宋体" w:cs="宋体"/>
          <w:b/>
          <w:u w:val="single"/>
        </w:rPr>
      </w:r>
      <w:r/>
    </w:p>
    <w:p>
      <w:pPr>
        <w:pStyle w:val="1275"/>
        <w:spacing w:after="120" w:line="440" w:lineRule="exact"/>
        <w:rPr>
          <w:rFonts w:hint="eastAsia" w:ascii="宋体" w:hAnsi="宋体" w:cs="宋体"/>
        </w:rPr>
      </w:pPr>
      <w:r>
        <w:rPr>
          <w:rFonts w:hint="eastAsia" w:ascii="宋体" w:hAnsi="宋体" w:cs="宋体"/>
        </w:rPr>
        <w:t xml:space="preserve">2、依法免税的供应商，应提供相应的文件证明。 </w:t>
      </w:r>
      <w:r>
        <w:rPr>
          <w:rFonts w:hint="eastAsia" w:ascii="宋体" w:hAnsi="宋体" w:cs="宋体"/>
        </w:rPr>
      </w:r>
      <w:r/>
    </w:p>
    <w:p>
      <w:pPr>
        <w:pStyle w:val="1275"/>
        <w:spacing w:after="120" w:line="440" w:lineRule="exact"/>
        <w:rPr>
          <w:rFonts w:ascii="Arial" w:hAnsi="Arial" w:eastAsia="黑体" w:cs="Arial"/>
          <w:b/>
          <w:u w:val="single"/>
        </w:rPr>
      </w:pPr>
      <w:r>
        <w:rPr>
          <w:rFonts w:ascii="Arial" w:hAnsi="Arial" w:eastAsia="黑体" w:cs="Arial"/>
          <w:b/>
          <w:u w:val="single"/>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275"/>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275"/>
        <w:spacing w:line="440" w:lineRule="exact"/>
        <w:rPr>
          <w:rFonts w:ascii="Arial" w:hAnsi="Arial" w:cs="Arial"/>
          <w:sz w:val="24"/>
          <w:szCs w:val="24"/>
        </w:rPr>
      </w:pPr>
      <w:r>
        <w:rPr>
          <w:rFonts w:hint="eastAsia" w:ascii="Arial" w:hAnsi="Arial" w:cs="Arial"/>
          <w:szCs w:val="21"/>
        </w:rPr>
        <w:t xml:space="preserve">日期：</w:t>
      </w:r>
      <w:r>
        <w:rPr>
          <w:rFonts w:ascii="Arial" w:hAnsi="Arial" w:cs="Arial"/>
          <w:sz w:val="24"/>
          <w:szCs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275"/>
        <w:jc w:val="left"/>
        <w:spacing w:line="360" w:lineRule="auto"/>
        <w:rPr>
          <w:rFonts w:ascii="Arial" w:hAnsi="Arial" w:cs="Arial"/>
          <w:b/>
          <w:bCs/>
          <w:szCs w:val="21"/>
        </w:rPr>
        <w:outlineLvl w:val="2"/>
      </w:pPr>
      <w:r/>
      <w:bookmarkStart w:id="346" w:name="_Toc17181"/>
      <w:r/>
      <w:bookmarkStart w:id="347" w:name="_Toc8843"/>
      <w:r/>
      <w:bookmarkStart w:id="348" w:name="_Toc10444"/>
      <w:r>
        <w:rPr>
          <w:rFonts w:hint="eastAsia" w:ascii="宋体" w:hAnsi="宋体" w:cs="宋体"/>
          <w:b/>
          <w:bCs/>
          <w:szCs w:val="21"/>
        </w:rPr>
        <w:t xml:space="preserve">8、</w:t>
      </w:r>
      <w:r>
        <w:rPr>
          <w:rFonts w:hint="eastAsia" w:ascii="Arial" w:hAnsi="Arial" w:cs="Arial"/>
          <w:b/>
          <w:bCs/>
          <w:szCs w:val="21"/>
        </w:rPr>
        <w:t xml:space="preserve">依法缴纳社会保障资金的记录</w:t>
      </w:r>
      <w:bookmarkEnd w:id="346"/>
      <w:r/>
      <w:bookmarkEnd w:id="347"/>
      <w:r/>
      <w:bookmarkEnd w:id="348"/>
      <w:r>
        <w:rPr>
          <w:rFonts w:ascii="Arial" w:hAnsi="Arial" w:cs="Arial"/>
          <w:b/>
          <w:bCs/>
          <w:szCs w:val="21"/>
        </w:rPr>
      </w:r>
      <w:r/>
    </w:p>
    <w:p>
      <w:pPr>
        <w:pStyle w:val="1275"/>
        <w:spacing w:line="440" w:lineRule="exact"/>
        <w:rPr>
          <w:rFonts w:hint="eastAsia" w:ascii="宋体" w:hAnsi="宋体" w:cs="宋体"/>
          <w:sz w:val="24"/>
          <w:szCs w:val="24"/>
        </w:rPr>
      </w:pPr>
      <w:r>
        <w:rPr>
          <w:rFonts w:hint="eastAsia" w:ascii="宋体" w:hAnsi="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cs="宋体"/>
          <w:sz w:val="24"/>
          <w:szCs w:val="24"/>
        </w:rPr>
      </w:r>
      <w:r/>
    </w:p>
    <w:p>
      <w:pPr>
        <w:pStyle w:val="1275"/>
        <w:spacing w:after="120" w:line="440" w:lineRule="exact"/>
        <w:rPr>
          <w:rFonts w:hint="eastAsia" w:ascii="宋体" w:hAnsi="宋体" w:cs="宋体"/>
        </w:rPr>
      </w:pPr>
      <w:r>
        <w:rPr>
          <w:rFonts w:hint="eastAsia" w:ascii="宋体" w:hAnsi="宋体" w:cs="宋体"/>
        </w:rPr>
        <w:t xml:space="preserve">2、依法不需要缴纳社会保障资金的供应商，应提供相应的文件证明。 </w:t>
      </w:r>
      <w:r>
        <w:rPr>
          <w:rFonts w:hint="eastAsia" w:ascii="宋体" w:hAnsi="宋体" w:cs="宋体"/>
        </w:rPr>
      </w:r>
      <w:r/>
    </w:p>
    <w:p>
      <w:pPr>
        <w:pStyle w:val="1275"/>
        <w:spacing w:line="440" w:lineRule="exact"/>
        <w:rPr>
          <w:rFonts w:hint="eastAsia" w:ascii="宋体" w:hAnsi="宋体" w:cs="宋体"/>
          <w:sz w:val="24"/>
        </w:rPr>
      </w:pPr>
      <w:r>
        <w:rPr>
          <w:rFonts w:hint="eastAsia" w:ascii="宋体" w:hAnsi="宋体" w:cs="宋体"/>
          <w:sz w:val="24"/>
        </w:rPr>
      </w:r>
      <w:r/>
    </w:p>
    <w:p>
      <w:pPr>
        <w:pStyle w:val="1275"/>
        <w:spacing w:line="440" w:lineRule="exact"/>
        <w:rPr>
          <w:rFonts w:hint="eastAsia" w:ascii="宋体" w:hAnsi="宋体" w:cs="宋体"/>
          <w:b/>
        </w:rPr>
      </w:pPr>
      <w:r>
        <w:rPr>
          <w:rFonts w:hint="eastAsia" w:ascii="宋体" w:hAnsi="宋体" w:cs="宋体"/>
          <w:b/>
        </w:rPr>
        <w:t xml:space="preserve">  </w:t>
      </w:r>
      <w:r>
        <w:rPr>
          <w:rFonts w:hint="eastAsia" w:ascii="宋体" w:hAnsi="宋体" w:cs="宋体"/>
          <w:b/>
        </w:rPr>
      </w:r>
      <w:r/>
    </w:p>
    <w:p>
      <w:pPr>
        <w:pStyle w:val="1275"/>
        <w:spacing w:line="440" w:lineRule="exact"/>
        <w:rPr>
          <w:rFonts w:hint="eastAsia" w:ascii="宋体" w:hAnsi="宋体" w:cs="宋体"/>
          <w:b/>
        </w:rPr>
      </w:pPr>
      <w:r>
        <w:rPr>
          <w:rFonts w:hint="eastAsia" w:ascii="宋体" w:hAnsi="宋体" w:cs="宋体"/>
          <w:b/>
        </w:rPr>
      </w:r>
      <w:r/>
    </w:p>
    <w:p>
      <w:pPr>
        <w:pStyle w:val="1275"/>
        <w:spacing w:line="440" w:lineRule="exact"/>
        <w:rPr>
          <w:rFonts w:hint="eastAsia" w:ascii="宋体" w:hAnsi="宋体" w:cs="宋体"/>
          <w:sz w:val="24"/>
        </w:rPr>
      </w:pPr>
      <w:r>
        <w:rPr>
          <w:rFonts w:hint="eastAsia" w:ascii="宋体" w:hAnsi="宋体" w:cs="宋体"/>
          <w:sz w:val="24"/>
        </w:rPr>
      </w:r>
      <w:r/>
    </w:p>
    <w:p>
      <w:pPr>
        <w:pStyle w:val="1275"/>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75"/>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275"/>
        <w:spacing w:line="440" w:lineRule="exact"/>
        <w:rPr>
          <w:rFonts w:ascii="Arial" w:hAnsi="Arial" w:cs="Arial"/>
          <w:sz w:val="24"/>
        </w:rPr>
      </w:pPr>
      <w:r>
        <w:rPr>
          <w:rFonts w:ascii="Arial" w:hAnsi="Arial" w:cs="Arial"/>
          <w:sz w:val="24"/>
        </w:rPr>
      </w:r>
      <w:r/>
    </w:p>
    <w:p>
      <w:pPr>
        <w:pStyle w:val="1275"/>
        <w:spacing w:line="440" w:lineRule="exact"/>
        <w:rPr>
          <w:rFonts w:ascii="Arial" w:hAnsi="Arial" w:cs="Arial"/>
          <w:b/>
        </w:rPr>
      </w:pPr>
      <w:r>
        <w:rPr>
          <w:rFonts w:ascii="Arial" w:hAnsi="Arial" w:cs="Arial"/>
          <w:b/>
        </w:rPr>
      </w:r>
      <w:r/>
    </w:p>
    <w:p>
      <w:pPr>
        <w:pStyle w:val="1275"/>
        <w:jc w:val="center"/>
        <w:spacing w:line="440" w:lineRule="exact"/>
        <w:rPr>
          <w:rFonts w:ascii="Arial" w:hAnsi="Arial" w:cs="Arial"/>
        </w:rPr>
      </w:pPr>
      <w:r>
        <w:rPr>
          <w:rFonts w:ascii="Arial" w:hAnsi="Arial" w:cs="Arial"/>
        </w:rPr>
      </w:r>
      <w:r/>
    </w:p>
    <w:p>
      <w:pPr>
        <w:pStyle w:val="1275"/>
        <w:spacing w:line="440" w:lineRule="exact"/>
        <w:rPr>
          <w:rFonts w:ascii="Arial" w:hAnsi="Arial" w:cs="Arial"/>
          <w:b/>
        </w:rPr>
      </w:pPr>
      <w:r>
        <w:rPr>
          <w:rFonts w:ascii="Arial" w:hAnsi="Arial" w:cs="Arial"/>
          <w:b/>
        </w:rPr>
      </w:r>
      <w:r/>
    </w:p>
    <w:p>
      <w:pPr>
        <w:pStyle w:val="1275"/>
        <w:ind w:right="-5"/>
        <w:spacing w:line="440" w:lineRule="exact"/>
        <w:rPr>
          <w:rFonts w:ascii="Arial" w:hAnsi="Arial" w:cs="Arial"/>
          <w:b/>
        </w:rPr>
      </w:pPr>
      <w:r>
        <w:rPr>
          <w:rFonts w:ascii="Arial" w:hAnsi="Arial" w:cs="Arial"/>
          <w:b/>
        </w:rPr>
      </w:r>
      <w:r/>
    </w:p>
    <w:p>
      <w:pPr>
        <w:pStyle w:val="1275"/>
        <w:ind w:right="-5"/>
        <w:spacing w:line="440" w:lineRule="exact"/>
        <w:rPr>
          <w:rFonts w:ascii="Arial" w:hAnsi="Arial" w:cs="Arial"/>
          <w:b/>
        </w:rPr>
      </w:pPr>
      <w:r>
        <w:rPr>
          <w:rFonts w:ascii="Arial" w:hAnsi="Arial" w:cs="Arial"/>
          <w:b/>
        </w:rPr>
      </w:r>
      <w:r/>
    </w:p>
    <w:p>
      <w:pPr>
        <w:pStyle w:val="1275"/>
        <w:ind w:right="-5"/>
        <w:spacing w:line="440" w:lineRule="exact"/>
        <w:rPr>
          <w:rFonts w:ascii="Arial" w:hAnsi="Arial" w:cs="Arial"/>
          <w:b/>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275"/>
        <w:rPr>
          <w:rFonts w:ascii="Arial" w:hAnsi="Arial" w:cs="Arial"/>
          <w:b/>
          <w:bCs/>
          <w:szCs w:val="21"/>
        </w:rPr>
        <w:outlineLvl w:val="2"/>
      </w:pPr>
      <w:r/>
      <w:bookmarkStart w:id="349" w:name="_Toc3374"/>
      <w:r/>
      <w:bookmarkStart w:id="350" w:name="_Toc20105"/>
      <w:r/>
      <w:bookmarkStart w:id="351" w:name="_Toc16913"/>
      <w:r>
        <w:rPr>
          <w:rFonts w:hint="eastAsia" w:ascii="宋体" w:hAnsi="宋体" w:cs="宋体"/>
          <w:b/>
          <w:bCs/>
          <w:szCs w:val="21"/>
        </w:rPr>
        <w:t xml:space="preserve">9、</w:t>
      </w:r>
      <w:bookmarkEnd w:id="349"/>
      <w:r/>
      <w:bookmarkEnd w:id="350"/>
      <w:r>
        <w:rPr>
          <w:rFonts w:hint="eastAsia" w:ascii="宋体" w:hAnsi="宋体" w:cs="宋体"/>
          <w:b/>
          <w:bCs/>
          <w:color w:val="000000"/>
          <w:szCs w:val="21"/>
        </w:rPr>
        <w:t xml:space="preserve">针对</w:t>
      </w:r>
      <w:r>
        <w:rPr>
          <w:rFonts w:hint="eastAsia" w:ascii="宋体" w:hAnsi="宋体" w:cs="宋体"/>
          <w:b/>
          <w:bCs/>
          <w:szCs w:val="21"/>
        </w:rPr>
        <w:t xml:space="preserve">本项目的特定资格要求（如有）</w:t>
      </w:r>
      <w:bookmarkEnd w:id="351"/>
      <w:r>
        <w:rPr>
          <w:rFonts w:ascii="Arial" w:hAnsi="Arial" w:cs="Arial"/>
          <w:b/>
          <w:bCs/>
          <w:szCs w:val="21"/>
        </w:rPr>
      </w:r>
      <w:r/>
    </w:p>
    <w:p>
      <w:pPr>
        <w:pStyle w:val="1313"/>
        <w:ind w:firstLine="280"/>
      </w:pPr>
      <w:r/>
      <w:r/>
    </w:p>
    <w:p>
      <w:pPr>
        <w:pStyle w:val="1313"/>
        <w:ind w:firstLine="210"/>
        <w:spacing w:line="360" w:lineRule="auto"/>
        <w:rPr>
          <w:rFonts w:hint="eastAsia" w:hAnsi="宋体" w:cs="宋体"/>
          <w:sz w:val="21"/>
          <w:szCs w:val="21"/>
        </w:rPr>
      </w:pPr>
      <w:r>
        <w:rPr>
          <w:rFonts w:hint="eastAsia" w:hAnsi="宋体" w:cs="宋体"/>
          <w:sz w:val="21"/>
          <w:szCs w:val="21"/>
        </w:rPr>
        <w:t xml:space="preserve">（1）本次采购不接受进口产品投标（注：本文件所称进口产品是指通过中国海关报关验放进入中国境内且产自关境外的产品）；</w:t>
      </w:r>
      <w:r>
        <w:rPr>
          <w:rFonts w:hint="eastAsia" w:hAnsi="宋体" w:cs="宋体"/>
          <w:sz w:val="21"/>
          <w:szCs w:val="21"/>
        </w:rPr>
      </w:r>
      <w:r/>
    </w:p>
    <w:p>
      <w:pPr>
        <w:pStyle w:val="1313"/>
        <w:ind w:firstLine="210"/>
        <w:spacing w:line="360" w:lineRule="auto"/>
        <w:rPr>
          <w:rFonts w:hint="eastAsia" w:hAnsi="宋体" w:cs="宋体"/>
          <w:sz w:val="21"/>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sz w:val="21"/>
          <w:szCs w:val="21"/>
        </w:rPr>
      </w:r>
      <w:r/>
    </w:p>
    <w:p>
      <w:pPr>
        <w:pStyle w:val="1275"/>
        <w:jc w:val="left"/>
        <w:spacing w:line="360" w:lineRule="auto"/>
        <w:rPr>
          <w:rFonts w:ascii="宋体" w:hAnsi="宋体" w:cs="宋体"/>
          <w:b/>
          <w:bCs/>
          <w:szCs w:val="21"/>
        </w:rPr>
        <w:outlineLvl w:val="2"/>
      </w:pPr>
      <w:r/>
      <w:bookmarkStart w:id="352" w:name="_Toc12743"/>
      <w:r/>
      <w:bookmarkStart w:id="353" w:name="_Toc13849"/>
      <w:r>
        <w:rPr>
          <w:rFonts w:hint="eastAsia" w:ascii="宋体" w:hAnsi="宋体" w:cs="宋体"/>
          <w:b/>
          <w:bCs/>
          <w:szCs w:val="21"/>
        </w:rPr>
        <w:t xml:space="preserve">10、符合招标文件第一章“拒绝下述供应商参加本次采购活动的情形”中第 1）条的声明或证明材料（加盖单位公章）</w:t>
      </w:r>
      <w:bookmarkEnd w:id="352"/>
      <w:r>
        <w:rPr>
          <w:rFonts w:hint="eastAsia" w:ascii="宋体" w:hAnsi="宋体" w:cs="宋体"/>
          <w:b/>
          <w:bCs/>
          <w:szCs w:val="21"/>
        </w:rPr>
        <w:t xml:space="preserve"> </w:t>
      </w:r>
      <w:r>
        <w:rPr>
          <w:rFonts w:ascii="宋体" w:hAnsi="宋体" w:cs="宋体"/>
          <w:b/>
          <w:bCs/>
          <w:szCs w:val="21"/>
        </w:rPr>
      </w:r>
      <w:r/>
    </w:p>
    <w:p>
      <w:pPr>
        <w:pStyle w:val="1275"/>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275"/>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293"/>
        <w:ind w:left="1260"/>
        <w:rPr>
          <w:rFonts w:hint="eastAsia"/>
        </w:rPr>
      </w:pPr>
      <w:r>
        <w:rPr>
          <w:rFonts w:hint="eastAsia"/>
        </w:rPr>
      </w:r>
      <w:r/>
    </w:p>
    <w:p>
      <w:pPr>
        <w:pStyle w:val="1275"/>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275"/>
        <w:jc w:val="left"/>
        <w:spacing w:line="360" w:lineRule="auto"/>
        <w:rPr>
          <w:rFonts w:hint="eastAsia" w:ascii="宋体" w:hAnsi="宋体" w:cs="宋体"/>
          <w:b/>
          <w:bCs/>
          <w:szCs w:val="21"/>
        </w:rPr>
      </w:pPr>
      <w:r>
        <w:rPr>
          <w:rFonts w:hint="eastAsia" w:ascii="宋体" w:hAnsi="宋体" w:cs="宋体"/>
          <w:b/>
          <w:bCs/>
          <w:szCs w:val="21"/>
        </w:rPr>
      </w:r>
      <w:r/>
    </w:p>
    <w:p>
      <w:pPr>
        <w:pStyle w:val="1275"/>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275"/>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75"/>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275"/>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的不同供应商同时参加本项目同一包投标的情形。 </w:t>
      </w:r>
      <w:r>
        <w:rPr>
          <w:rFonts w:ascii="宋体" w:hAnsi="宋体" w:cs="宋体"/>
          <w:szCs w:val="21"/>
        </w:rPr>
      </w:r>
      <w:r/>
    </w:p>
    <w:p>
      <w:pPr>
        <w:pStyle w:val="1275"/>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275"/>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27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275"/>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275"/>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13"/>
        <w:ind w:firstLine="281"/>
        <w:rPr>
          <w:rFonts w:hint="eastAsia" w:hAnsi="宋体" w:cs="宋体"/>
          <w:b/>
          <w:bCs/>
          <w:szCs w:val="21"/>
        </w:rPr>
      </w:pPr>
      <w:r>
        <w:rPr>
          <w:rFonts w:hAnsi="宋体" w:cs="宋体"/>
          <w:b/>
          <w:bCs/>
          <w:szCs w:val="21"/>
        </w:rPr>
        <w:t xml:space="preserve"> </w:t>
      </w:r>
      <w:r>
        <w:rPr>
          <w:rFonts w:hint="eastAsia" w:hAnsi="宋体" w:cs="宋体"/>
          <w:b/>
          <w:bCs/>
          <w:szCs w:val="21"/>
        </w:rPr>
      </w:r>
      <w:r/>
    </w:p>
    <w:p>
      <w:pPr>
        <w:pStyle w:val="1313"/>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13"/>
        <w:ind w:firstLine="0"/>
        <w:rPr>
          <w:rFonts w:hint="eastAsia" w:hAnsi="宋体" w:cs="宋体"/>
          <w:b/>
          <w:bCs/>
          <w:sz w:val="21"/>
          <w:szCs w:val="21"/>
        </w:rPr>
        <w:outlineLvl w:val="2"/>
      </w:pPr>
      <w:r/>
      <w:bookmarkStart w:id="354" w:name="_Toc8447"/>
      <w:r>
        <w:rPr>
          <w:rFonts w:hint="eastAsia" w:hAnsi="宋体" w:cs="宋体"/>
          <w:b/>
          <w:bCs/>
          <w:sz w:val="21"/>
          <w:szCs w:val="21"/>
        </w:rPr>
        <w:t xml:space="preserve">11、符合招标文件第一章“拒绝下述供应商参加本次采购活动的情形”中第 2）条的声明（加盖单位公章）</w:t>
      </w:r>
      <w:bookmarkEnd w:id="354"/>
      <w:r>
        <w:rPr>
          <w:rFonts w:hint="eastAsia" w:hAnsi="宋体" w:cs="宋体"/>
          <w:b/>
          <w:bCs/>
          <w:sz w:val="21"/>
          <w:szCs w:val="21"/>
        </w:rPr>
      </w:r>
      <w:r/>
    </w:p>
    <w:p>
      <w:pPr>
        <w:pStyle w:val="1313"/>
        <w:ind w:firstLine="210"/>
        <w:rPr>
          <w:rFonts w:hint="eastAsia" w:hAnsi="宋体" w:cs="宋体"/>
          <w:sz w:val="21"/>
          <w:szCs w:val="21"/>
        </w:rPr>
      </w:pPr>
      <w:r>
        <w:rPr>
          <w:rFonts w:hint="eastAsia" w:hAnsi="宋体" w:cs="宋体"/>
          <w:sz w:val="21"/>
          <w:szCs w:val="21"/>
        </w:rPr>
      </w:r>
      <w:r/>
    </w:p>
    <w:p>
      <w:pPr>
        <w:pStyle w:val="1313"/>
        <w:ind w:firstLine="0"/>
        <w:rPr>
          <w:rFonts w:hint="eastAsia" w:hAnsi="宋体" w:cs="宋体"/>
          <w:sz w:val="21"/>
          <w:szCs w:val="21"/>
        </w:rPr>
      </w:pPr>
      <w:r>
        <w:rPr>
          <w:rFonts w:hint="eastAsia" w:hAnsi="宋体" w:cs="宋体"/>
          <w:sz w:val="21"/>
          <w:szCs w:val="21"/>
        </w:rPr>
        <w:t xml:space="preserve">参考格式：</w:t>
      </w:r>
      <w:r>
        <w:rPr>
          <w:rFonts w:hint="eastAsia" w:hAnsi="宋体" w:cs="宋体"/>
          <w:sz w:val="21"/>
          <w:szCs w:val="21"/>
        </w:rPr>
      </w:r>
      <w:r/>
    </w:p>
    <w:p>
      <w:pPr>
        <w:pStyle w:val="1313"/>
        <w:ind w:firstLine="0"/>
        <w:rPr>
          <w:rFonts w:hint="eastAsia" w:hAnsi="宋体" w:cs="宋体"/>
          <w:sz w:val="21"/>
          <w:szCs w:val="21"/>
        </w:rPr>
      </w:pPr>
      <w:r>
        <w:rPr>
          <w:rFonts w:hint="eastAsia" w:hAnsi="宋体" w:cs="宋体"/>
          <w:sz w:val="21"/>
          <w:szCs w:val="21"/>
        </w:rPr>
      </w:r>
      <w:r/>
    </w:p>
    <w:p>
      <w:pPr>
        <w:pStyle w:val="1313"/>
        <w:ind w:firstLine="211"/>
        <w:rPr>
          <w:rFonts w:hAnsi="宋体" w:cs="宋体"/>
          <w:sz w:val="21"/>
          <w:szCs w:val="21"/>
        </w:rPr>
      </w:pPr>
      <w:r>
        <w:rPr>
          <w:rFonts w:hAnsi="宋体" w:cs="宋体"/>
          <w:b/>
          <w:bCs/>
          <w:sz w:val="21"/>
          <w:szCs w:val="21"/>
        </w:rPr>
        <w:t xml:space="preserve">江苏苏美达仪器设备有限公司：</w:t>
      </w:r>
      <w:r>
        <w:rPr>
          <w:rFonts w:hAnsi="宋体" w:cs="宋体"/>
          <w:sz w:val="21"/>
          <w:szCs w:val="21"/>
        </w:rPr>
      </w:r>
      <w:r/>
    </w:p>
    <w:p>
      <w:pPr>
        <w:pStyle w:val="1313"/>
        <w:ind w:firstLine="420"/>
        <w:rPr>
          <w:rFonts w:hAnsi="宋体" w:cs="宋体"/>
          <w:sz w:val="21"/>
          <w:szCs w:val="21"/>
        </w:rPr>
      </w:pPr>
      <w:r>
        <w:rPr>
          <w:rFonts w:hAnsi="宋体" w:cs="宋体"/>
          <w:sz w:val="21"/>
          <w:szCs w:val="21"/>
        </w:rPr>
      </w:r>
      <w:r/>
    </w:p>
    <w:p>
      <w:pPr>
        <w:pStyle w:val="1313"/>
        <w:ind w:firstLine="420"/>
        <w:rPr>
          <w:rFonts w:hint="eastAsia" w:hAnsi="宋体" w:cs="宋体"/>
          <w:sz w:val="21"/>
          <w:szCs w:val="21"/>
        </w:rPr>
      </w:pPr>
      <w:r>
        <w:rPr>
          <w:rFonts w:hAnsi="宋体" w:cs="宋体"/>
          <w:sz w:val="21"/>
          <w:szCs w:val="21"/>
        </w:rPr>
        <w:t xml:space="preserve">我公司不是为本项目某包提供整体设计、规范编制或者项目管理、监理、检测等服务的供应商。 </w:t>
      </w:r>
      <w:r>
        <w:rPr>
          <w:rFonts w:hint="eastAsia" w:hAnsi="宋体" w:cs="宋体"/>
          <w:sz w:val="21"/>
          <w:szCs w:val="21"/>
        </w:rPr>
      </w:r>
      <w:r/>
    </w:p>
    <w:p>
      <w:pPr>
        <w:pStyle w:val="1313"/>
        <w:ind w:firstLine="420"/>
        <w:rPr>
          <w:rFonts w:hAnsi="宋体" w:cs="宋体"/>
          <w:sz w:val="21"/>
          <w:szCs w:val="21"/>
        </w:rPr>
      </w:pPr>
      <w:r>
        <w:rPr>
          <w:rFonts w:hAnsi="宋体" w:cs="宋体"/>
          <w:sz w:val="21"/>
          <w:szCs w:val="21"/>
        </w:rPr>
        <w:t xml:space="preserve"> </w:t>
      </w:r>
      <w:r>
        <w:rPr>
          <w:rFonts w:hAnsi="宋体" w:cs="宋体"/>
          <w:sz w:val="21"/>
          <w:szCs w:val="21"/>
        </w:rPr>
      </w:r>
      <w:r/>
    </w:p>
    <w:p>
      <w:pPr>
        <w:pStyle w:val="1313"/>
        <w:ind w:firstLine="211"/>
        <w:rPr>
          <w:rFonts w:hint="eastAsia" w:hAnsi="宋体" w:cs="宋体"/>
          <w:b/>
          <w:bCs/>
          <w:sz w:val="21"/>
          <w:szCs w:val="21"/>
        </w:rPr>
      </w:pPr>
      <w:r>
        <w:rPr>
          <w:rFonts w:hAnsi="宋体" w:cs="宋体"/>
          <w:b/>
          <w:bCs/>
          <w:sz w:val="21"/>
          <w:szCs w:val="21"/>
        </w:rPr>
        <w:t xml:space="preserve">特此声明。 </w:t>
      </w:r>
      <w:r>
        <w:rPr>
          <w:rFonts w:hint="eastAsia" w:hAnsi="宋体" w:cs="宋体"/>
          <w:b/>
          <w:bCs/>
          <w:sz w:val="21"/>
          <w:szCs w:val="21"/>
        </w:rPr>
      </w:r>
      <w:r/>
    </w:p>
    <w:p>
      <w:pPr>
        <w:pStyle w:val="1313"/>
        <w:ind w:firstLine="211"/>
        <w:rPr>
          <w:rFonts w:hint="eastAsia" w:hAnsi="宋体" w:cs="宋体"/>
          <w:b/>
          <w:bCs/>
          <w:sz w:val="21"/>
          <w:szCs w:val="21"/>
        </w:rPr>
      </w:pPr>
      <w:r>
        <w:rPr>
          <w:rFonts w:hint="eastAsia" w:hAnsi="宋体" w:cs="宋体"/>
          <w:b/>
          <w:bCs/>
          <w:sz w:val="21"/>
          <w:szCs w:val="21"/>
        </w:rPr>
      </w:r>
      <w:r/>
    </w:p>
    <w:p>
      <w:pPr>
        <w:pStyle w:val="1275"/>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275"/>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275"/>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275"/>
        <w:jc w:val="left"/>
        <w:spacing w:line="440" w:lineRule="exact"/>
        <w:rPr>
          <w:rFonts w:hint="eastAsia" w:ascii="宋体" w:hAnsi="宋体" w:cs="宋体"/>
          <w:b/>
          <w:bCs/>
          <w:szCs w:val="21"/>
        </w:rPr>
        <w:outlineLvl w:val="2"/>
      </w:pPr>
      <w:r/>
      <w:bookmarkStart w:id="355" w:name="_Toc1402"/>
      <w:r/>
      <w:bookmarkStart w:id="356" w:name="_Toc5579"/>
      <w:r>
        <w:rPr>
          <w:rFonts w:hint="eastAsia" w:ascii="宋体" w:hAnsi="宋体" w:cs="宋体"/>
          <w:b/>
          <w:bCs/>
          <w:szCs w:val="21"/>
        </w:rPr>
        <w:t xml:space="preserve">12、本项目不接受联合体投标，中标后不允许分包、转包。</w:t>
      </w:r>
      <w:bookmarkEnd w:id="355"/>
      <w:r>
        <w:rPr>
          <w:rFonts w:hint="eastAsia" w:ascii="宋体" w:hAnsi="宋体" w:cs="宋体"/>
          <w:b/>
          <w:bCs/>
          <w:szCs w:val="21"/>
        </w:rPr>
      </w:r>
      <w:r/>
    </w:p>
    <w:p>
      <w:pPr>
        <w:pStyle w:val="1275"/>
        <w:jc w:val="left"/>
        <w:spacing w:line="440" w:lineRule="exact"/>
        <w:rPr>
          <w:rFonts w:hint="eastAsia" w:ascii="宋体" w:hAnsi="宋体" w:cs="宋体"/>
          <w:szCs w:val="21"/>
        </w:rPr>
        <w:outlineLvl w:val="2"/>
      </w:pPr>
      <w:r/>
      <w:bookmarkStart w:id="357" w:name="_Toc14863"/>
      <w:r>
        <w:rPr>
          <w:rFonts w:hint="eastAsia" w:ascii="宋体" w:hAnsi="宋体" w:cs="宋体"/>
          <w:szCs w:val="21"/>
        </w:rPr>
        <w:t xml:space="preserve">参考格式：</w:t>
      </w:r>
      <w:bookmarkEnd w:id="356"/>
      <w:r/>
      <w:bookmarkEnd w:id="357"/>
      <w:r>
        <w:rPr>
          <w:rFonts w:hint="eastAsia" w:ascii="宋体" w:hAnsi="宋体" w:cs="宋体"/>
          <w:szCs w:val="21"/>
        </w:rPr>
      </w:r>
      <w:r/>
    </w:p>
    <w:p>
      <w:pPr>
        <w:pStyle w:val="1275"/>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275"/>
        <w:rPr>
          <w:rFonts w:hint="eastAsia" w:ascii="宋体" w:hAnsi="宋体" w:cs="宋体"/>
          <w:sz w:val="24"/>
          <w:szCs w:val="22"/>
        </w:rPr>
      </w:pPr>
      <w:r>
        <w:rPr>
          <w:rFonts w:hint="eastAsia" w:ascii="宋体" w:hAnsi="宋体" w:cs="宋体"/>
          <w:sz w:val="24"/>
          <w:szCs w:val="22"/>
        </w:rPr>
      </w:r>
      <w:r/>
    </w:p>
    <w:p>
      <w:pPr>
        <w:pStyle w:val="1275"/>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275"/>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275"/>
        <w:rPr>
          <w:rFonts w:hint="eastAsia" w:ascii="宋体" w:hAnsi="宋体" w:cs="宋体"/>
          <w:sz w:val="24"/>
          <w:szCs w:val="22"/>
        </w:rPr>
      </w:pPr>
      <w:r>
        <w:rPr>
          <w:rFonts w:hint="eastAsia" w:ascii="宋体" w:hAnsi="宋体" w:cs="宋体"/>
          <w:sz w:val="24"/>
          <w:szCs w:val="22"/>
        </w:rPr>
      </w:r>
      <w:r/>
    </w:p>
    <w:p>
      <w:pPr>
        <w:pStyle w:val="1275"/>
        <w:ind w:left="-2" w:right="-5"/>
        <w:spacing w:line="360" w:lineRule="auto"/>
        <w:rPr>
          <w:rFonts w:hint="eastAsia" w:ascii="宋体" w:hAnsi="宋体" w:cs="宋体"/>
          <w:szCs w:val="21"/>
        </w:rPr>
      </w:pPr>
      <w:r>
        <w:rPr>
          <w:rFonts w:hint="eastAsia" w:ascii="宋体" w:hAnsi="宋体" w:cs="宋体"/>
          <w:szCs w:val="21"/>
        </w:rPr>
      </w:r>
      <w:r/>
    </w:p>
    <w:p>
      <w:pPr>
        <w:pStyle w:val="1275"/>
        <w:ind w:left="-2" w:right="-5"/>
        <w:spacing w:line="360" w:lineRule="auto"/>
        <w:rPr>
          <w:rFonts w:hint="eastAsia" w:ascii="宋体" w:hAnsi="宋体" w:cs="宋体"/>
          <w:szCs w:val="21"/>
        </w:rPr>
      </w:pP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75"/>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75"/>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13"/>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75"/>
        <w:jc w:val="left"/>
        <w:spacing w:line="360" w:lineRule="auto"/>
        <w:rPr>
          <w:rFonts w:hint="eastAsia" w:ascii="宋体" w:hAnsi="宋体" w:cs="宋体"/>
          <w:b/>
          <w:bCs/>
          <w:szCs w:val="21"/>
        </w:rPr>
        <w:outlineLvl w:val="2"/>
      </w:pPr>
      <w:r/>
      <w:bookmarkStart w:id="358" w:name="_Toc19695"/>
      <w:r>
        <w:rPr>
          <w:rFonts w:hint="eastAsia" w:ascii="宋体" w:hAnsi="宋体" w:cs="宋体"/>
          <w:b/>
          <w:bCs/>
          <w:szCs w:val="21"/>
        </w:rPr>
        <w:t xml:space="preserve">13、供应商认为其需要提供的其他资格证明文件。</w:t>
      </w:r>
      <w:bookmarkEnd w:id="353"/>
      <w:r/>
      <w:bookmarkEnd w:id="358"/>
      <w:r>
        <w:rPr>
          <w:rFonts w:hint="eastAsia" w:ascii="宋体" w:hAnsi="宋体" w:cs="宋体"/>
          <w:b/>
          <w:bCs/>
          <w:szCs w:val="21"/>
        </w:rPr>
      </w:r>
      <w:r/>
    </w:p>
    <w:p>
      <w:pPr>
        <w:pStyle w:val="1275"/>
        <w:spacing w:line="440" w:lineRule="exact"/>
        <w:rPr>
          <w:rFonts w:hint="eastAsia" w:ascii="宋体" w:hAnsi="宋体" w:cs="宋体"/>
          <w:b/>
        </w:rPr>
      </w:pPr>
      <w:r>
        <w:rPr>
          <w:rFonts w:hint="eastAsia" w:ascii="宋体" w:hAnsi="宋体" w:cs="宋体"/>
          <w:sz w:val="24"/>
        </w:rPr>
        <w:t xml:space="preserve">    </w:t>
      </w:r>
      <w:r>
        <w:rPr>
          <w:rFonts w:hint="eastAsia" w:ascii="宋体" w:hAnsi="宋体" w:cs="宋体"/>
          <w:b/>
        </w:rPr>
        <w:t xml:space="preserve">      </w:t>
      </w:r>
      <w:r>
        <w:rPr>
          <w:rFonts w:hint="eastAsia" w:ascii="宋体" w:hAnsi="宋体" w:cs="宋体"/>
          <w:b/>
        </w:rPr>
      </w:r>
      <w:r/>
    </w:p>
    <w:p>
      <w:pPr>
        <w:pStyle w:val="1275"/>
        <w:spacing w:line="440" w:lineRule="exact"/>
        <w:rPr>
          <w:rFonts w:hint="eastAsia" w:ascii="宋体" w:hAnsi="宋体" w:cs="宋体"/>
          <w:b/>
        </w:rPr>
      </w:pPr>
      <w:r>
        <w:rPr>
          <w:rFonts w:hint="eastAsia" w:ascii="宋体" w:hAnsi="宋体" w:cs="宋体"/>
          <w:b/>
        </w:rPr>
      </w:r>
      <w:r/>
    </w:p>
    <w:p>
      <w:pPr>
        <w:pStyle w:val="1275"/>
        <w:spacing w:line="440" w:lineRule="exact"/>
        <w:rPr>
          <w:rFonts w:hint="eastAsia" w:ascii="宋体" w:hAnsi="宋体" w:cs="宋体"/>
          <w:b/>
        </w:rPr>
      </w:pPr>
      <w:r>
        <w:rPr>
          <w:rFonts w:hint="eastAsia" w:ascii="宋体" w:hAnsi="宋体" w:cs="宋体"/>
          <w:b/>
        </w:rPr>
      </w:r>
      <w:r/>
    </w:p>
    <w:p>
      <w:pPr>
        <w:pStyle w:val="1275"/>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275"/>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313"/>
        <w:ind w:firstLine="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75"/>
        <w:rPr>
          <w:rFonts w:ascii="Arial" w:hAnsi="Arial" w:cs="Arial"/>
          <w:b/>
          <w:color w:val="000000"/>
          <w:sz w:val="24"/>
          <w:lang w:val="zh-CN"/>
        </w:rPr>
        <w:outlineLvl w:val="1"/>
      </w:pPr>
      <w:r/>
      <w:bookmarkStart w:id="359" w:name="_Toc22079"/>
      <w:r/>
      <w:bookmarkStart w:id="360" w:name="_Toc21790"/>
      <w:r/>
      <w:bookmarkStart w:id="361" w:name="_Toc15972"/>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59"/>
      <w:r/>
      <w:bookmarkEnd w:id="360"/>
      <w:r>
        <w:rPr>
          <w:rFonts w:hint="eastAsia" w:ascii="Arial" w:hAnsi="Arial" w:cs="Arial"/>
          <w:b/>
          <w:bCs/>
          <w:sz w:val="24"/>
          <w:szCs w:val="22"/>
          <w:lang w:val="zh-CN"/>
        </w:rPr>
        <w:t xml:space="preserve">（如有）</w:t>
      </w:r>
      <w:bookmarkEnd w:id="361"/>
      <w:r>
        <w:rPr>
          <w:rFonts w:ascii="Arial" w:hAnsi="Arial" w:cs="Arial"/>
          <w:b/>
          <w:color w:val="000000"/>
          <w:sz w:val="24"/>
          <w:lang w:val="zh-CN"/>
        </w:rPr>
      </w:r>
      <w:r/>
    </w:p>
    <w:p>
      <w:pPr>
        <w:pStyle w:val="1275"/>
        <w:rPr>
          <w:rFonts w:ascii="Arial" w:hAnsi="Arial" w:cs="Arial"/>
          <w:b/>
          <w:color w:val="000000"/>
          <w:sz w:val="24"/>
          <w:lang w:val="zh-CN"/>
        </w:rPr>
      </w:pPr>
      <w:r>
        <w:rPr>
          <w:rFonts w:ascii="Arial" w:hAnsi="Arial" w:cs="Arial"/>
          <w:b/>
          <w:color w:val="000000"/>
          <w:sz w:val="24"/>
          <w:lang w:val="zh-CN"/>
        </w:rPr>
      </w:r>
      <w:r/>
    </w:p>
    <w:p>
      <w:pPr>
        <w:pStyle w:val="1275"/>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275"/>
        <w:spacing w:line="240" w:lineRule="atLeast"/>
        <w:rPr>
          <w:rFonts w:ascii="Arial" w:hAnsi="Arial" w:cs="Arial"/>
          <w:b/>
          <w:color w:val="000000"/>
          <w:sz w:val="24"/>
          <w:lang w:val="zh-CN"/>
        </w:rPr>
      </w:pPr>
      <w:r>
        <w:rPr>
          <w:rFonts w:ascii="Arial" w:hAnsi="Arial" w:cs="Arial"/>
          <w:b/>
          <w:color w:val="000000"/>
          <w:sz w:val="24"/>
          <w:lang w:val="zh-CN"/>
        </w:rPr>
      </w:r>
      <w:r/>
    </w:p>
    <w:p>
      <w:pPr>
        <w:pStyle w:val="1275"/>
        <w:spacing w:line="240" w:lineRule="atLeast"/>
        <w:rPr>
          <w:rFonts w:ascii="Arial" w:hAnsi="Arial" w:cs="Arial"/>
          <w:b/>
          <w:color w:val="000000"/>
          <w:sz w:val="24"/>
          <w:lang w:val="zh-CN"/>
        </w:rPr>
      </w:pPr>
      <w:r>
        <w:rPr>
          <w:rFonts w:ascii="Arial" w:hAnsi="Arial" w:cs="Arial"/>
          <w:b/>
          <w:color w:val="000000"/>
          <w:sz w:val="24"/>
          <w:lang w:val="zh-CN"/>
        </w:rPr>
      </w:r>
      <w:r/>
    </w:p>
    <w:p>
      <w:pPr>
        <w:pStyle w:val="1275"/>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6"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3258"/>
        <w:gridCol w:w="1769"/>
        <w:gridCol w:w="1398"/>
        <w:gridCol w:w="2180"/>
      </w:tblGrid>
      <w:tr>
        <w:trPr>
          <w:trHeight w:val="604"/>
        </w:trPr>
        <w:tc>
          <w:tcPr>
            <w:tcW w:w="621" w:type="dxa"/>
            <w:vAlign w:val="center"/>
            <w:textDirection w:val="lrTb"/>
            <w:noWrap w:val="false"/>
          </w:tcPr>
          <w:p>
            <w:pPr>
              <w:pStyle w:val="1275"/>
              <w:ind w:right="-5"/>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1657" w:type="dxa"/>
            <w:vAlign w:val="center"/>
            <w:textDirection w:val="lrTb"/>
            <w:noWrap w:val="false"/>
          </w:tcPr>
          <w:p>
            <w:pPr>
              <w:pStyle w:val="1275"/>
              <w:ind w:right="-5"/>
              <w:jc w:val="center"/>
              <w:spacing w:line="440" w:lineRule="exact"/>
              <w:tabs>
                <w:tab w:val="left" w:pos="972" w:leader="none"/>
              </w:tabs>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投标产品配置情况</w:t>
            </w:r>
            <w:r>
              <w:rPr>
                <w:rFonts w:hint="eastAsia" w:ascii="宋体" w:hAnsi="宋体" w:eastAsia="宋体" w:cs="宋体"/>
                <w:color w:val="000000"/>
                <w:szCs w:val="21"/>
                <w:lang w:eastAsia="zh-CN"/>
              </w:rPr>
            </w:r>
            <w:r/>
          </w:p>
        </w:tc>
        <w:tc>
          <w:tcPr>
            <w:tcW w:w="900" w:type="dxa"/>
            <w:vAlign w:val="center"/>
            <w:textDirection w:val="lrTb"/>
            <w:noWrap w:val="false"/>
          </w:tcPr>
          <w:p>
            <w:pPr>
              <w:pStyle w:val="1275"/>
              <w:ind w:right="-5"/>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型号及规格</w:t>
            </w:r>
            <w:r>
              <w:rPr>
                <w:rFonts w:hint="eastAsia" w:ascii="宋体" w:hAnsi="宋体" w:eastAsia="宋体" w:cs="宋体"/>
                <w:color w:val="000000"/>
                <w:szCs w:val="21"/>
              </w:rPr>
            </w:r>
            <w:r/>
          </w:p>
        </w:tc>
        <w:tc>
          <w:tcPr>
            <w:tcW w:w="711" w:type="dxa"/>
            <w:vAlign w:val="center"/>
            <w:textDirection w:val="lrTb"/>
            <w:noWrap w:val="false"/>
          </w:tcPr>
          <w:p>
            <w:pPr>
              <w:pStyle w:val="1275"/>
              <w:ind w:right="-5"/>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产地、制造商</w:t>
            </w:r>
            <w:r>
              <w:rPr>
                <w:rFonts w:hint="eastAsia" w:ascii="宋体" w:hAnsi="宋体" w:eastAsia="宋体" w:cs="宋体"/>
                <w:color w:val="000000"/>
                <w:szCs w:val="21"/>
              </w:rPr>
            </w:r>
            <w:r/>
          </w:p>
        </w:tc>
        <w:tc>
          <w:tcPr>
            <w:tcW w:w="1109" w:type="dxa"/>
            <w:vAlign w:val="center"/>
            <w:textDirection w:val="lrTb"/>
            <w:noWrap w:val="false"/>
          </w:tcPr>
          <w:p>
            <w:pPr>
              <w:pStyle w:val="1275"/>
              <w:ind w:right="-5"/>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数量(台)</w:t>
            </w:r>
            <w:r>
              <w:rPr>
                <w:rFonts w:hint="eastAsia" w:ascii="宋体" w:hAnsi="宋体" w:eastAsia="宋体" w:cs="宋体"/>
                <w:color w:val="000000"/>
                <w:szCs w:val="21"/>
              </w:rPr>
            </w:r>
            <w:r/>
          </w:p>
        </w:tc>
      </w:tr>
      <w:tr>
        <w:trPr>
          <w:trHeight w:val="604"/>
        </w:trPr>
        <w:tc>
          <w:tcPr>
            <w:tcW w:w="621" w:type="dxa"/>
            <w:vAlign w:val="top"/>
            <w:textDirection w:val="lrTb"/>
            <w:noWrap w:val="false"/>
          </w:tcPr>
          <w:p>
            <w:pPr>
              <w:pStyle w:val="1275"/>
              <w:ind w:right="-5"/>
              <w:jc w:val="center"/>
              <w:spacing w:line="440" w:lineRule="exact"/>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w:t>
            </w:r>
            <w:r>
              <w:rPr>
                <w:rFonts w:hint="eastAsia"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高频微波场强标准装置，不得低于以下配置：</w:t>
            </w:r>
            <w:r>
              <w:rPr>
                <w:rFonts w:hint="eastAsia" w:ascii="宋体" w:hAnsi="宋体" w:cs="宋体"/>
                <w:bCs/>
                <w:color w:val="000000"/>
                <w:sz w:val="21"/>
                <w:szCs w:val="21"/>
                <w:lang w:val="en-US" w:eastAsia="zh-CN" w:bidi="ar-SA"/>
              </w:rPr>
            </w:r>
            <w:r/>
          </w:p>
        </w:tc>
        <w:tc>
          <w:tcPr>
            <w:tcW w:w="900" w:type="dxa"/>
            <w:vAlign w:val="center"/>
            <w:textDirection w:val="lrTb"/>
            <w:noWrap w:val="false"/>
          </w:tcPr>
          <w:p>
            <w:pPr>
              <w:pStyle w:val="1275"/>
              <w:jc w:val="center"/>
              <w:keepNext/>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keepNext/>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1.1</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GTEM室场强校准系统</w:t>
            </w:r>
            <w:r>
              <w:rPr>
                <w:rFonts w:hint="eastAsia" w:ascii="宋体" w:hAnsi="宋体" w:cs="宋体"/>
                <w:bCs/>
                <w:color w:val="000000"/>
                <w:sz w:val="21"/>
                <w:szCs w:val="21"/>
                <w:lang w:val="en-US" w:eastAsia="zh-CN" w:bidi="ar-SA"/>
              </w:rPr>
            </w:r>
            <w:r/>
          </w:p>
        </w:tc>
        <w:tc>
          <w:tcPr>
            <w:tcW w:w="900" w:type="dxa"/>
            <w:vAlign w:val="center"/>
            <w:textDirection w:val="lrTb"/>
            <w:noWrap w:val="false"/>
          </w:tcPr>
          <w:p>
            <w:pPr>
              <w:pStyle w:val="1275"/>
              <w:jc w:val="center"/>
              <w:keepNext/>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keepNext/>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1.1.2</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GTEM室</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1.1.3</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探头卡具</w:t>
            </w:r>
            <w:r>
              <w:rPr>
                <w:rFonts w:hint="eastAsia" w:ascii="宋体" w:hAnsi="宋体" w:cs="宋体"/>
                <w:bCs/>
                <w:color w:val="000000"/>
                <w:sz w:val="21"/>
                <w:szCs w:val="21"/>
                <w:lang w:val="en-US" w:eastAsia="zh-CN" w:bidi="ar-SA"/>
              </w:rPr>
            </w:r>
            <w:r/>
          </w:p>
        </w:tc>
        <w:tc>
          <w:tcPr>
            <w:tcW w:w="90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4个</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1.1.4</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功率放大器</w:t>
            </w:r>
            <w:r>
              <w:rPr>
                <w:rFonts w:hint="eastAsia" w:ascii="宋体" w:hAnsi="宋体" w:cs="宋体"/>
                <w:bCs/>
                <w:color w:val="000000"/>
                <w:sz w:val="21"/>
                <w:szCs w:val="21"/>
                <w:lang w:val="en-US" w:eastAsia="zh-CN" w:bidi="ar-SA"/>
              </w:rPr>
            </w:r>
            <w:r/>
          </w:p>
        </w:tc>
        <w:tc>
          <w:tcPr>
            <w:tcW w:w="90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1台</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1.1.5</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测量控制软件</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TEM室场强校准系统</w:t>
            </w:r>
            <w:r>
              <w:rPr>
                <w:rFonts w:hint="eastAsia" w:ascii="宋体" w:hAnsi="宋体" w:cs="宋体"/>
                <w:bCs/>
                <w:color w:val="000000"/>
                <w:sz w:val="21"/>
                <w:szCs w:val="21"/>
                <w:lang w:val="en-US" w:eastAsia="zh-CN" w:bidi="ar-SA"/>
              </w:rPr>
            </w:r>
            <w:r/>
          </w:p>
        </w:tc>
        <w:tc>
          <w:tcPr>
            <w:tcW w:w="90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6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1.2.1</w:t>
            </w:r>
            <w:r>
              <w:rPr>
                <w:rFonts w:ascii="宋体" w:hAnsi="宋体" w:eastAsia="宋体" w:cs="宋体"/>
                <w:b w:val="0"/>
                <w:bCs/>
                <w:color w:val="000000"/>
                <w:szCs w:val="21"/>
                <w:lang w:val="en-US" w:eastAsia="zh-CN"/>
              </w:rPr>
            </w:r>
            <w:r/>
          </w:p>
        </w:tc>
        <w:tc>
          <w:tcPr>
            <w:tcW w:w="1657"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TEM室1</w:t>
            </w:r>
            <w:r>
              <w:rPr>
                <w:rFonts w:hint="eastAsia" w:ascii="宋体" w:hAnsi="宋体" w:cs="宋体"/>
                <w:bCs/>
                <w:color w:val="000000"/>
                <w:sz w:val="21"/>
                <w:szCs w:val="21"/>
                <w:lang w:val="en-US" w:eastAsia="zh-CN" w:bidi="ar-SA"/>
              </w:rPr>
            </w:r>
            <w:r/>
          </w:p>
        </w:tc>
        <w:tc>
          <w:tcPr>
            <w:tcW w:w="90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711"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1109"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1.2.2</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TEM室2</w:t>
            </w:r>
            <w:r>
              <w:rPr>
                <w:rFonts w:hint="eastAsia" w:ascii="宋体" w:hAnsi="宋体" w:cs="宋体"/>
                <w:bCs/>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1.2.3</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探头卡具及旋转装置</w:t>
            </w:r>
            <w:r>
              <w:rPr>
                <w:rFonts w:hint="eastAsia" w:ascii="宋体" w:hAnsi="宋体" w:cs="宋体"/>
                <w:bCs/>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4个</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1.2.4</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color w:val="000000"/>
                <w:szCs w:val="21"/>
              </w:rPr>
              <w:t xml:space="preserve">自动化测量软件</w:t>
            </w:r>
            <w:r>
              <w:rPr>
                <w:rFonts w:hint="eastAsia" w:ascii="宋体" w:hAnsi="宋体" w:cs="宋体"/>
                <w:bCs/>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1.2.5</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传递电场探头</w:t>
            </w:r>
            <w:r>
              <w:rPr>
                <w:rFonts w:hint="eastAsia" w:ascii="宋体" w:hAnsi="宋体" w:cs="宋体"/>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1.2.6</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定向耦合器</w:t>
            </w:r>
            <w:r>
              <w:rPr>
                <w:rFonts w:hint="eastAsia" w:ascii="宋体" w:hAnsi="宋体" w:cs="宋体"/>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1.2.7</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大功率衰减器</w:t>
            </w:r>
            <w:r>
              <w:rPr>
                <w:rFonts w:hint="eastAsia" w:ascii="宋体" w:hAnsi="宋体" w:cs="宋体"/>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1.2.8</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辅助设备</w:t>
            </w:r>
            <w:r>
              <w:rPr>
                <w:rFonts w:hint="eastAsia" w:ascii="宋体" w:hAnsi="宋体" w:cs="宋体"/>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1224" w:type="dxa"/>
            <w:vAlign w:val="top"/>
            <w:textDirection w:val="lrTb"/>
            <w:noWrap w:val="false"/>
          </w:tcPr>
          <w:p>
            <w:pPr>
              <w:pStyle w:val="1275"/>
              <w:ind w:right="-5"/>
              <w:jc w:val="center"/>
              <w:spacing w:line="440" w:lineRule="exact"/>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w:t>
            </w:r>
            <w:r>
              <w:rPr>
                <w:rFonts w:hint="eastAsia"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测试场地检测装置，不得低于以下配置：</w:t>
            </w:r>
            <w:r>
              <w:rPr>
                <w:rFonts w:hint="eastAsia" w:ascii="宋体" w:hAnsi="宋体" w:cs="宋体"/>
                <w:bCs/>
                <w:color w:val="000000"/>
                <w:sz w:val="21"/>
                <w:szCs w:val="21"/>
                <w:lang w:val="en-US" w:eastAsia="zh-CN" w:bidi="ar-SA"/>
              </w:rPr>
            </w:r>
            <w:r/>
          </w:p>
        </w:tc>
        <w:tc>
          <w:tcPr>
            <w:tcW w:w="1771"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2.1</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精密环天线</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keepNext/>
              <w:spacing w:line="360" w:lineRule="auto"/>
              <w:rPr>
                <w:rFonts w:hint="eastAsia" w:ascii="宋体" w:hAnsi="宋体" w:cs="宋体"/>
                <w:bCs/>
                <w:color w:val="000000"/>
                <w:sz w:val="21"/>
                <w:szCs w:val="21"/>
                <w:lang w:val="en-US" w:eastAsia="zh-CN" w:bidi="ar-SA"/>
              </w:rPr>
              <w:outlineLvl w:val="0"/>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keepNext/>
              <w:spacing w:line="360" w:lineRule="auto"/>
              <w:rPr>
                <w:rFonts w:hint="eastAsia" w:ascii="宋体" w:hAnsi="宋体" w:cs="宋体"/>
                <w:bCs/>
                <w:color w:val="000000"/>
                <w:sz w:val="21"/>
                <w:szCs w:val="21"/>
                <w:lang w:val="en-US" w:eastAsia="zh-CN" w:bidi="ar-SA"/>
              </w:rPr>
              <w:outlineLvl w:val="0"/>
            </w:pPr>
            <w:r/>
            <w:bookmarkStart w:id="362" w:name="_Toc17758"/>
            <w:r/>
            <w:bookmarkStart w:id="363" w:name="_Toc30709"/>
            <w:r>
              <w:rPr>
                <w:rFonts w:hint="eastAsia" w:ascii="宋体" w:hAnsi="宋体" w:cs="宋体"/>
                <w:bCs/>
                <w:color w:val="000000"/>
                <w:szCs w:val="21"/>
              </w:rPr>
              <w:t xml:space="preserve">1套</w:t>
            </w:r>
            <w:bookmarkEnd w:id="362"/>
            <w:r/>
            <w:bookmarkEnd w:id="363"/>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2.2</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同轴电缆</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2根</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2.3</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电子校准件</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2.4</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NSIL测试软件</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1套</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2.5</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双锥天线(含天线巴伦)</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1支</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2.6</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对数周期天线</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1支</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2.7</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精密对称偶极子天线</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1支</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2.8</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天线塔</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1个</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2.9</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运输箱</w:t>
            </w:r>
            <w:r>
              <w:rPr>
                <w:rFonts w:hint="eastAsia" w:ascii="宋体" w:hAnsi="宋体" w:cs="宋体"/>
                <w:bCs/>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bCs/>
                <w:color w:val="000000"/>
                <w:sz w:val="21"/>
                <w:szCs w:val="21"/>
                <w:lang w:val="en-US" w:eastAsia="zh-CN" w:bidi="ar-SA"/>
              </w:rPr>
            </w:pPr>
            <w:r>
              <w:rPr>
                <w:rFonts w:hint="eastAsia" w:ascii="宋体" w:hAnsi="宋体" w:cs="宋体"/>
                <w:bCs/>
                <w:color w:val="000000"/>
                <w:szCs w:val="21"/>
              </w:rPr>
              <w:t xml:space="preserve">10个</w:t>
            </w:r>
            <w:r>
              <w:rPr>
                <w:rFonts w:hint="eastAsia" w:ascii="宋体" w:hAnsi="宋体" w:cs="宋体"/>
                <w:bCs/>
                <w:color w:val="000000"/>
                <w:sz w:val="21"/>
                <w:szCs w:val="21"/>
                <w:lang w:val="en-US" w:eastAsia="zh-CN" w:bidi="ar-SA"/>
              </w:rPr>
            </w:r>
            <w:r/>
          </w:p>
        </w:tc>
      </w:tr>
      <w:tr>
        <w:trPr>
          <w:trHeight w:val="604"/>
        </w:trPr>
        <w:tc>
          <w:tcPr>
            <w:tcW w:w="1223" w:type="dxa"/>
            <w:vAlign w:val="top"/>
            <w:textDirection w:val="lrTb"/>
            <w:noWrap w:val="false"/>
          </w:tcPr>
          <w:p>
            <w:pPr>
              <w:pStyle w:val="1275"/>
              <w:ind w:right="-5"/>
              <w:jc w:val="center"/>
              <w:spacing w:line="440" w:lineRule="exact"/>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3</w:t>
            </w:r>
            <w:r>
              <w:rPr>
                <w:rFonts w:hint="eastAsia"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数据中心能效检测装置，不得低于以下配置：</w:t>
            </w:r>
            <w:r>
              <w:rPr>
                <w:rFonts w:hint="eastAsia" w:ascii="宋体" w:hAnsi="宋体" w:cs="宋体"/>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1套</w:t>
            </w:r>
            <w:r>
              <w:rPr>
                <w:rFonts w:hint="eastAsia" w:ascii="宋体" w:hAnsi="宋体" w:cs="宋体"/>
                <w:color w:val="000000"/>
                <w:sz w:val="21"/>
                <w:szCs w:val="21"/>
                <w:lang w:val="en-US" w:eastAsia="zh-CN" w:bidi="ar-SA"/>
              </w:rPr>
            </w:r>
            <w:r/>
          </w:p>
        </w:tc>
      </w:tr>
      <w:tr>
        <w:trPr>
          <w:trHeight w:val="604"/>
        </w:trPr>
        <w:tc>
          <w:tcPr>
            <w:tcW w:w="12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3.1</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电能质量分析仪</w:t>
            </w:r>
            <w:r>
              <w:rPr>
                <w:rFonts w:hint="eastAsia" w:ascii="宋体" w:hAnsi="宋体" w:cs="宋体"/>
                <w:color w:val="000000"/>
                <w:sz w:val="21"/>
                <w:szCs w:val="21"/>
                <w:lang w:val="en-US" w:eastAsia="zh-CN" w:bidi="ar-SA"/>
              </w:rPr>
            </w:r>
            <w:r/>
          </w:p>
        </w:tc>
        <w:tc>
          <w:tcPr>
            <w:tcW w:w="1770" w:type="dxa"/>
            <w:vAlign w:val="center"/>
            <w:textDirection w:val="lrTb"/>
            <w:noWrap w:val="false"/>
          </w:tcPr>
          <w:p>
            <w:pPr>
              <w:pStyle w:val="1275"/>
              <w:jc w:val="center"/>
              <w:keepNext/>
              <w:spacing w:line="360" w:lineRule="auto"/>
              <w:rPr>
                <w:rFonts w:hint="eastAsia" w:ascii="宋体" w:hAnsi="宋体" w:cs="宋体"/>
                <w:color w:val="000000"/>
                <w:sz w:val="21"/>
                <w:szCs w:val="21"/>
                <w:lang w:val="en-US" w:eastAsia="zh-CN" w:bidi="ar-SA"/>
              </w:rPr>
              <w:outlineLvl w:val="0"/>
            </w:pPr>
            <w:r>
              <w:rPr>
                <w:rFonts w:hint="eastAsia" w:ascii="宋体" w:hAnsi="宋体" w:cs="宋体"/>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keepNext/>
              <w:spacing w:line="360" w:lineRule="auto"/>
              <w:rPr>
                <w:rFonts w:hint="eastAsia" w:ascii="宋体" w:hAnsi="宋体" w:cs="宋体"/>
                <w:color w:val="000000"/>
                <w:sz w:val="21"/>
                <w:szCs w:val="21"/>
                <w:lang w:val="en-US" w:eastAsia="zh-CN" w:bidi="ar-SA"/>
              </w:rPr>
              <w:outlineLvl w:val="0"/>
            </w:pPr>
            <w:r/>
            <w:bookmarkStart w:id="364" w:name="_Toc2297"/>
            <w:r/>
            <w:bookmarkStart w:id="365" w:name="_Toc15587"/>
            <w:r>
              <w:rPr>
                <w:rFonts w:hint="eastAsia" w:ascii="宋体" w:hAnsi="宋体" w:cs="宋体"/>
                <w:color w:val="000000"/>
                <w:szCs w:val="21"/>
              </w:rPr>
              <w:t xml:space="preserve">2台</w:t>
            </w:r>
            <w:bookmarkEnd w:id="364"/>
            <w:r/>
            <w:bookmarkEnd w:id="365"/>
            <w:r>
              <w:rPr>
                <w:rFonts w:hint="eastAsia" w:ascii="宋体" w:hAnsi="宋体" w:cs="宋体"/>
                <w:color w:val="000000"/>
                <w:sz w:val="21"/>
                <w:szCs w:val="21"/>
                <w:lang w:val="en-US" w:eastAsia="zh-CN" w:bidi="ar-SA"/>
              </w:rPr>
            </w:r>
            <w:r/>
          </w:p>
        </w:tc>
      </w:tr>
      <w:tr>
        <w:trPr>
          <w:trHeight w:val="604"/>
        </w:trPr>
        <w:tc>
          <w:tcPr>
            <w:tcW w:w="12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3.2</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数字式温湿度计</w:t>
            </w:r>
            <w:r>
              <w:rPr>
                <w:rFonts w:hint="eastAsia" w:ascii="宋体" w:hAnsi="宋体" w:cs="宋体"/>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4台</w:t>
            </w:r>
            <w:r>
              <w:rPr>
                <w:rFonts w:hint="eastAsia" w:ascii="宋体" w:hAnsi="宋体" w:cs="宋体"/>
                <w:color w:val="000000"/>
                <w:sz w:val="21"/>
                <w:szCs w:val="21"/>
                <w:lang w:val="en-US" w:eastAsia="zh-CN" w:bidi="ar-SA"/>
              </w:rPr>
            </w:r>
            <w:r/>
          </w:p>
        </w:tc>
      </w:tr>
      <w:tr>
        <w:trPr>
          <w:trHeight w:val="604"/>
        </w:trPr>
        <w:tc>
          <w:tcPr>
            <w:tcW w:w="12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3.3</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声波成像仪</w:t>
            </w:r>
            <w:r>
              <w:rPr>
                <w:rFonts w:hint="eastAsia" w:ascii="宋体" w:hAnsi="宋体" w:cs="宋体"/>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1台</w:t>
            </w:r>
            <w:r>
              <w:rPr>
                <w:rFonts w:hint="eastAsia" w:ascii="宋体" w:hAnsi="宋体" w:cs="宋体"/>
                <w:color w:val="000000"/>
                <w:sz w:val="21"/>
                <w:szCs w:val="21"/>
                <w:lang w:val="en-US" w:eastAsia="zh-CN" w:bidi="ar-SA"/>
              </w:rPr>
            </w:r>
            <w:r/>
          </w:p>
        </w:tc>
      </w:tr>
      <w:tr>
        <w:trPr>
          <w:trHeight w:val="604"/>
        </w:trPr>
        <w:tc>
          <w:tcPr>
            <w:tcW w:w="1221" w:type="dxa"/>
            <w:vAlign w:val="top"/>
            <w:textDirection w:val="lrTb"/>
            <w:noWrap w:val="false"/>
          </w:tcPr>
          <w:p>
            <w:pPr>
              <w:pStyle w:val="1275"/>
              <w:ind w:right="-5"/>
              <w:jc w:val="center"/>
              <w:spacing w:line="440" w:lineRule="exact"/>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3.4</w:t>
            </w:r>
            <w:r>
              <w:rPr>
                <w:rFonts w:ascii="宋体" w:hAnsi="宋体" w:eastAsia="宋体" w:cs="宋体"/>
                <w:b w:val="0"/>
                <w:bCs/>
                <w:color w:val="000000"/>
                <w:szCs w:val="21"/>
                <w:lang w:val="en-US" w:eastAsia="zh-CN"/>
              </w:rPr>
            </w:r>
            <w:r/>
          </w:p>
        </w:tc>
        <w:tc>
          <w:tcPr>
            <w:tcW w:w="3258"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复合相关仪</w:t>
            </w:r>
            <w:r>
              <w:rPr>
                <w:rFonts w:hint="eastAsia" w:ascii="宋体" w:hAnsi="宋体" w:cs="宋体"/>
                <w:color w:val="000000"/>
                <w:sz w:val="21"/>
                <w:szCs w:val="21"/>
                <w:lang w:val="en-US" w:eastAsia="zh-CN" w:bidi="ar-SA"/>
              </w:rPr>
            </w:r>
            <w:r/>
          </w:p>
        </w:tc>
        <w:tc>
          <w:tcPr>
            <w:tcW w:w="1770"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tc>
        <w:tc>
          <w:tcPr>
            <w:tcW w:w="1399" w:type="dxa"/>
            <w:vAlign w:val="top"/>
            <w:textDirection w:val="lrTb"/>
            <w:noWrap w:val="false"/>
          </w:tcPr>
          <w:p>
            <w:pPr>
              <w:pStyle w:val="1275"/>
              <w:ind w:right="-5"/>
              <w:jc w:val="cente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tc>
        <w:tc>
          <w:tcPr>
            <w:tcW w:w="2182" w:type="dxa"/>
            <w:vAlign w:val="center"/>
            <w:textDirection w:val="lrTb"/>
            <w:noWrap w:val="false"/>
          </w:tcPr>
          <w:p>
            <w:pPr>
              <w:pStyle w:val="1275"/>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Cs w:val="21"/>
              </w:rPr>
              <w:t xml:space="preserve">1台</w:t>
            </w:r>
            <w:r>
              <w:rPr>
                <w:rFonts w:hint="eastAsia" w:ascii="宋体" w:hAnsi="宋体" w:cs="宋体"/>
                <w:color w:val="000000"/>
                <w:sz w:val="21"/>
                <w:szCs w:val="21"/>
                <w:lang w:val="en-US" w:eastAsia="zh-CN" w:bidi="ar-SA"/>
              </w:rPr>
            </w:r>
            <w:r/>
          </w:p>
        </w:tc>
      </w:tr>
    </w:tbl>
    <w:p>
      <w:pPr>
        <w:pStyle w:val="1275"/>
        <w:spacing w:line="440" w:lineRule="exact"/>
        <w:rPr>
          <w:rFonts w:hint="eastAsia" w:ascii="宋体" w:hAnsi="宋体" w:cs="宋体"/>
          <w:szCs w:val="21"/>
        </w:rPr>
      </w:pPr>
      <w:r>
        <w:rPr>
          <w:rFonts w:hint="eastAsia" w:ascii="宋体" w:hAnsi="宋体" w:cs="宋体"/>
          <w:szCs w:val="21"/>
        </w:rPr>
      </w:r>
      <w:r/>
    </w:p>
    <w:p>
      <w:pPr>
        <w:pStyle w:val="1275"/>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275"/>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275"/>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275"/>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275"/>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275"/>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275"/>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275"/>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275"/>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275"/>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275"/>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275"/>
              <w:ind w:right="-5"/>
              <w:spacing w:line="440" w:lineRule="exact"/>
              <w:rPr>
                <w:rFonts w:hint="eastAsia" w:ascii="宋体" w:hAnsi="宋体" w:cs="宋体"/>
                <w:b/>
                <w:szCs w:val="21"/>
              </w:rPr>
            </w:pPr>
            <w:r>
              <w:rPr>
                <w:rFonts w:hint="eastAsia" w:ascii="宋体" w:hAnsi="宋体" w:cs="宋体"/>
                <w:b/>
                <w:szCs w:val="21"/>
              </w:rPr>
            </w:r>
            <w:r/>
          </w:p>
          <w:p>
            <w:pPr>
              <w:pStyle w:val="1275"/>
              <w:ind w:right="-5"/>
              <w:spacing w:line="440" w:lineRule="exact"/>
              <w:rPr>
                <w:rFonts w:hint="eastAsia" w:ascii="宋体" w:hAnsi="宋体" w:cs="宋体"/>
                <w:b/>
                <w:szCs w:val="21"/>
              </w:rPr>
            </w:pPr>
            <w:r>
              <w:rPr>
                <w:rFonts w:hint="eastAsia" w:ascii="宋体" w:hAnsi="宋体" w:cs="宋体"/>
                <w:b/>
                <w:szCs w:val="21"/>
              </w:rPr>
            </w:r>
            <w:r/>
          </w:p>
        </w:tc>
      </w:tr>
    </w:tbl>
    <w:p>
      <w:pPr>
        <w:pStyle w:val="1275"/>
        <w:spacing w:line="440" w:lineRule="exact"/>
        <w:rPr>
          <w:rFonts w:hint="eastAsia" w:ascii="宋体" w:hAnsi="宋体" w:cs="宋体"/>
          <w:bCs/>
          <w:szCs w:val="21"/>
        </w:rPr>
      </w:pPr>
      <w:r>
        <w:rPr>
          <w:rFonts w:hint="eastAsia" w:ascii="宋体" w:hAnsi="宋体" w:cs="宋体"/>
          <w:bCs/>
          <w:szCs w:val="21"/>
        </w:rPr>
      </w:r>
      <w:r/>
    </w:p>
    <w:p>
      <w:pPr>
        <w:pStyle w:val="1275"/>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275"/>
        <w:spacing w:line="440" w:lineRule="exact"/>
        <w:rPr>
          <w:rFonts w:hint="eastAsia" w:ascii="宋体" w:hAnsi="宋体" w:cs="宋体"/>
          <w:b/>
          <w:szCs w:val="21"/>
        </w:rPr>
      </w:pPr>
      <w:r>
        <w:rPr>
          <w:rFonts w:hint="eastAsia" w:ascii="宋体" w:hAnsi="宋体" w:cs="宋体"/>
          <w:b/>
          <w:szCs w:val="21"/>
        </w:rPr>
      </w:r>
      <w:r/>
    </w:p>
    <w:p>
      <w:pPr>
        <w:pStyle w:val="1275"/>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275"/>
        <w:ind w:right="-5"/>
        <w:spacing w:line="440" w:lineRule="exact"/>
        <w:rPr>
          <w:rFonts w:hint="eastAsia" w:ascii="宋体" w:hAnsi="宋体" w:cs="宋体"/>
          <w:b/>
          <w:szCs w:val="21"/>
        </w:rPr>
      </w:pPr>
      <w:r>
        <w:rPr>
          <w:rFonts w:hint="eastAsia" w:ascii="宋体" w:hAnsi="宋体" w:cs="宋体"/>
          <w:b/>
          <w:szCs w:val="21"/>
        </w:rPr>
      </w:r>
      <w:r/>
    </w:p>
    <w:p>
      <w:pPr>
        <w:pStyle w:val="1275"/>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275"/>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7"/>
        <w:gridCol w:w="1573"/>
        <w:gridCol w:w="1573"/>
        <w:gridCol w:w="1520"/>
        <w:gridCol w:w="1722"/>
      </w:tblGrid>
      <w:tr>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275"/>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275"/>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275"/>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275"/>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275"/>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275"/>
              <w:jc w:val="center"/>
              <w:rPr>
                <w:rFonts w:hint="eastAsia" w:ascii="宋体" w:hAnsi="宋体" w:cs="宋体"/>
                <w:szCs w:val="21"/>
              </w:rPr>
            </w:pPr>
            <w:r>
              <w:rPr>
                <w:rFonts w:hint="eastAsia" w:ascii="宋体" w:hAnsi="宋体" w:cs="宋体"/>
                <w:szCs w:val="21"/>
              </w:rPr>
            </w:r>
            <w:r/>
          </w:p>
        </w:tc>
      </w:tr>
    </w:tbl>
    <w:p>
      <w:pPr>
        <w:pStyle w:val="1275"/>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5"/>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275"/>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华文新魏">
    <w:panose1 w:val="020108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Univers LT Std 45 Light">
    <w:panose1 w:val="020B0503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rPr>
        <w:rFonts w:hint="eastAsia"/>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301"/>
                            <w:tabs>
                              <w:tab w:val="clear" w:pos="4153" w:leader="none"/>
                              <w:tab w:val="clear" w:pos="8306" w:leader="none"/>
                            </w:tabs>
                            <w:rPr>
                              <w:rStyle w:val="1317"/>
                              <w:rFonts w:hint="eastAsia"/>
                            </w:rPr>
                          </w:pPr>
                          <w:r>
                            <w:rPr>
                              <w:rStyle w:val="1317"/>
                              <w:rFonts w:hint="eastAsia"/>
                            </w:rPr>
                            <w:t xml:space="preserve">                   </w:t>
                          </w:r>
                          <w:r>
                            <w:rPr>
                              <w:rStyle w:val="1317"/>
                              <w:rFonts w:hint="eastAsia"/>
                            </w:rPr>
                          </w:r>
                          <w:r/>
                        </w:p>
                        <w:p>
                          <w:pPr>
                            <w:pStyle w:val="127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01"/>
                      <w:tabs>
                        <w:tab w:val="clear" w:pos="4153" w:leader="none"/>
                        <w:tab w:val="clear" w:pos="8306" w:leader="none"/>
                      </w:tabs>
                      <w:rPr>
                        <w:rStyle w:val="1317"/>
                        <w:rFonts w:hint="eastAsia"/>
                      </w:rPr>
                    </w:pPr>
                    <w:r>
                      <w:rPr>
                        <w:rStyle w:val="1317"/>
                        <w:rFonts w:hint="eastAsia"/>
                      </w:rPr>
                      <w:t xml:space="preserve">                   </w:t>
                    </w:r>
                    <w:r>
                      <w:rPr>
                        <w:rStyle w:val="1317"/>
                        <w:rFonts w:hint="eastAsia"/>
                      </w:rPr>
                    </w:r>
                    <w:r/>
                  </w:p>
                  <w:p>
                    <w:pPr>
                      <w:pStyle w:val="1275"/>
                    </w:pPr>
                    <w:r/>
                    <w:r/>
                  </w:p>
                </w:txbxContent>
              </v:textbox>
            </v:shape>
          </w:pict>
        </mc:Fallback>
      </mc:AlternateContent>
    </w: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301"/>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7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7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5"/>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27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275"/>
                    </w:pPr>
                    <w:r/>
                    <w:r/>
                  </w:p>
                </w:txbxContent>
              </v:textbox>
            </v:shape>
          </w:pict>
        </mc:Fallback>
      </mc:AlternateContent>
    </w:r>
    <w:r>
      <w:rPr>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75"/>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75"/>
                    </w:pPr>
                    <w:r/>
                    <w:r/>
                  </w:p>
                </w:txbxContent>
              </v:textbox>
            </v:shape>
          </w:pict>
        </mc:Fallback>
      </mc:AlternateContent>
    </w: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275"/>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27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75"/>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7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275"/>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275"/>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75"/>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7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275"/>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01"/>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2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jc w:val="both"/>
      <w:tabs>
        <w:tab w:val="clear" w:pos="4153" w:leader="none"/>
        <w:tab w:val="clear" w:pos="8306" w:leader="none"/>
      </w:tabs>
      <w:rPr>
        <w:rFonts w:hint="eastAsia"/>
        <w:szCs w:val="22"/>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公开招标</w:t>
    </w:r>
    <w:r>
      <w:rPr>
        <w:rFonts w:hint="eastAsia"/>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jc w:val="both"/>
      <w:tabs>
        <w:tab w:val="clear" w:pos="4153" w:leader="none"/>
        <w:tab w:val="clear" w:pos="8306" w:leader="none"/>
      </w:tabs>
      <w:rPr>
        <w:szCs w:val="22"/>
      </w:rPr>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公开招标</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275"/>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1275"/>
        <w:ind w:left="360" w:hanging="360"/>
        <w:tabs>
          <w:tab w:val="num" w:pos="0" w:leader="none"/>
        </w:tabs>
      </w:pPr>
    </w:lvl>
    <w:lvl w:ilvl="1">
      <w:start w:val="1"/>
      <w:numFmt w:val="decimal"/>
      <w:isLgl w:val="false"/>
      <w:suff w:val="tab"/>
      <w:lvlText w:val="%1.%2"/>
      <w:lvlJc w:val="left"/>
      <w:pPr>
        <w:pStyle w:val="1275"/>
        <w:ind w:left="644" w:hanging="360"/>
        <w:tabs>
          <w:tab w:val="num" w:pos="0" w:leader="none"/>
        </w:tabs>
      </w:pPr>
      <w:rPr>
        <w:rFonts w:ascii="Times New Roman" w:hAnsi="Times New Roman" w:cs="Times New Roman"/>
        <w:b w:val="0"/>
      </w:rPr>
    </w:lvl>
    <w:lvl w:ilvl="2">
      <w:start w:val="1"/>
      <w:numFmt w:val="decimal"/>
      <w:pStyle w:val="1336"/>
      <w:isLgl w:val="false"/>
      <w:suff w:val="tab"/>
      <w:lvlText w:val="%1.%2.%3"/>
      <w:lvlJc w:val="left"/>
      <w:pPr>
        <w:pStyle w:val="1275"/>
        <w:ind w:left="720" w:hanging="720"/>
        <w:tabs>
          <w:tab w:val="num" w:pos="0" w:leader="none"/>
        </w:tabs>
      </w:pPr>
      <w:rPr>
        <w:b w:val="0"/>
      </w:rPr>
    </w:lvl>
    <w:lvl w:ilvl="3">
      <w:start w:val="1"/>
      <w:numFmt w:val="decimal"/>
      <w:isLgl w:val="false"/>
      <w:suff w:val="tab"/>
      <w:lvlText w:val="%1.%2.%3.%4"/>
      <w:lvlJc w:val="left"/>
      <w:pPr>
        <w:pStyle w:val="1275"/>
        <w:ind w:left="720" w:hanging="720"/>
        <w:tabs>
          <w:tab w:val="num" w:pos="0" w:leader="none"/>
        </w:tabs>
      </w:pPr>
    </w:lvl>
    <w:lvl w:ilvl="4">
      <w:start w:val="1"/>
      <w:numFmt w:val="decimal"/>
      <w:isLgl w:val="false"/>
      <w:suff w:val="tab"/>
      <w:lvlText w:val="%1.%2.%3.%4.%5"/>
      <w:lvlJc w:val="left"/>
      <w:pPr>
        <w:pStyle w:val="1275"/>
        <w:ind w:left="1080" w:hanging="1080"/>
        <w:tabs>
          <w:tab w:val="num" w:pos="0" w:leader="none"/>
        </w:tabs>
      </w:pPr>
    </w:lvl>
    <w:lvl w:ilvl="5">
      <w:start w:val="1"/>
      <w:numFmt w:val="decimal"/>
      <w:isLgl w:val="false"/>
      <w:suff w:val="tab"/>
      <w:lvlText w:val="%1.%2.%3.%4.%5.%6"/>
      <w:lvlJc w:val="left"/>
      <w:pPr>
        <w:pStyle w:val="1275"/>
        <w:ind w:left="1080" w:hanging="1080"/>
        <w:tabs>
          <w:tab w:val="num" w:pos="0" w:leader="none"/>
        </w:tabs>
      </w:pPr>
    </w:lvl>
    <w:lvl w:ilvl="6">
      <w:start w:val="1"/>
      <w:numFmt w:val="decimal"/>
      <w:isLgl w:val="false"/>
      <w:suff w:val="tab"/>
      <w:lvlText w:val="%1.%2.%3.%4.%5.%6.%7"/>
      <w:lvlJc w:val="left"/>
      <w:pPr>
        <w:pStyle w:val="1275"/>
        <w:ind w:left="1080" w:hanging="1080"/>
        <w:tabs>
          <w:tab w:val="num" w:pos="0" w:leader="none"/>
        </w:tabs>
      </w:pPr>
    </w:lvl>
    <w:lvl w:ilvl="7">
      <w:start w:val="1"/>
      <w:numFmt w:val="decimal"/>
      <w:isLgl w:val="false"/>
      <w:suff w:val="tab"/>
      <w:lvlText w:val="%1.%2.%3.%4.%5.%6.%7.%8"/>
      <w:lvlJc w:val="left"/>
      <w:pPr>
        <w:pStyle w:val="1275"/>
        <w:ind w:left="1440" w:hanging="1440"/>
        <w:tabs>
          <w:tab w:val="num" w:pos="0" w:leader="none"/>
        </w:tabs>
      </w:pPr>
    </w:lvl>
    <w:lvl w:ilvl="8">
      <w:start w:val="1"/>
      <w:numFmt w:val="decimal"/>
      <w:isLgl w:val="false"/>
      <w:suff w:val="tab"/>
      <w:lvlText w:val="%1.%2.%3.%4.%5.%6.%7.%8.%9"/>
      <w:lvlJc w:val="left"/>
      <w:pPr>
        <w:pStyle w:val="1275"/>
        <w:ind w:left="1440" w:hanging="1440"/>
        <w:tabs>
          <w:tab w:val="num" w:pos="0" w:leader="none"/>
        </w:tabs>
      </w:pPr>
    </w:lvl>
  </w:abstractNum>
  <w:abstractNum w:abstractNumId="2">
    <w:multiLevelType w:val="hybridMultilevel"/>
    <w:lvl w:ilvl="0">
      <w:start w:val="29"/>
      <w:numFmt w:val="decimal"/>
      <w:isLgl w:val="false"/>
      <w:suff w:val="nothing"/>
      <w:lvlText w:val="%1."/>
      <w:lvlJc w:val="left"/>
      <w:pPr>
        <w:pStyle w:val="12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8">
    <w:name w:val="Heading 1"/>
    <w:basedOn w:val="1275"/>
    <w:next w:val="1275"/>
    <w:link w:val="1099"/>
    <w:uiPriority w:val="9"/>
    <w:qFormat/>
    <w:pPr>
      <w:keepLines/>
      <w:keepNext/>
      <w:spacing w:before="480" w:after="200"/>
      <w:outlineLvl w:val="0"/>
    </w:pPr>
    <w:rPr>
      <w:rFonts w:ascii="Arial" w:hAnsi="Arial" w:eastAsia="Arial" w:cs="Arial"/>
      <w:sz w:val="40"/>
      <w:szCs w:val="40"/>
    </w:rPr>
  </w:style>
  <w:style w:type="character" w:styleId="1099">
    <w:name w:val="Heading 1 Char"/>
    <w:link w:val="1098"/>
    <w:uiPriority w:val="9"/>
    <w:rPr>
      <w:rFonts w:ascii="Arial" w:hAnsi="Arial" w:eastAsia="Arial" w:cs="Arial"/>
      <w:sz w:val="40"/>
      <w:szCs w:val="40"/>
    </w:rPr>
  </w:style>
  <w:style w:type="paragraph" w:styleId="1100">
    <w:name w:val="Heading 2"/>
    <w:basedOn w:val="1275"/>
    <w:next w:val="1275"/>
    <w:link w:val="1101"/>
    <w:uiPriority w:val="9"/>
    <w:unhideWhenUsed/>
    <w:qFormat/>
    <w:pPr>
      <w:keepLines/>
      <w:keepNext/>
      <w:spacing w:before="360" w:after="200"/>
      <w:outlineLvl w:val="1"/>
    </w:pPr>
    <w:rPr>
      <w:rFonts w:ascii="Arial" w:hAnsi="Arial" w:eastAsia="Arial" w:cs="Arial"/>
      <w:sz w:val="34"/>
    </w:rPr>
  </w:style>
  <w:style w:type="character" w:styleId="1101">
    <w:name w:val="Heading 2 Char"/>
    <w:link w:val="1100"/>
    <w:uiPriority w:val="9"/>
    <w:rPr>
      <w:rFonts w:ascii="Arial" w:hAnsi="Arial" w:eastAsia="Arial" w:cs="Arial"/>
      <w:sz w:val="34"/>
    </w:rPr>
  </w:style>
  <w:style w:type="paragraph" w:styleId="1102">
    <w:name w:val="Heading 3"/>
    <w:basedOn w:val="1275"/>
    <w:next w:val="1275"/>
    <w:link w:val="1103"/>
    <w:uiPriority w:val="9"/>
    <w:unhideWhenUsed/>
    <w:qFormat/>
    <w:pPr>
      <w:keepLines/>
      <w:keepNext/>
      <w:spacing w:before="320" w:after="200"/>
      <w:outlineLvl w:val="2"/>
    </w:pPr>
    <w:rPr>
      <w:rFonts w:ascii="Arial" w:hAnsi="Arial" w:eastAsia="Arial" w:cs="Arial"/>
      <w:sz w:val="30"/>
      <w:szCs w:val="30"/>
    </w:rPr>
  </w:style>
  <w:style w:type="character" w:styleId="1103">
    <w:name w:val="Heading 3 Char"/>
    <w:link w:val="1102"/>
    <w:uiPriority w:val="9"/>
    <w:rPr>
      <w:rFonts w:ascii="Arial" w:hAnsi="Arial" w:eastAsia="Arial" w:cs="Arial"/>
      <w:sz w:val="30"/>
      <w:szCs w:val="30"/>
    </w:rPr>
  </w:style>
  <w:style w:type="paragraph" w:styleId="1104">
    <w:name w:val="Heading 4"/>
    <w:basedOn w:val="1275"/>
    <w:next w:val="1275"/>
    <w:link w:val="1105"/>
    <w:uiPriority w:val="9"/>
    <w:unhideWhenUsed/>
    <w:qFormat/>
    <w:pPr>
      <w:keepLines/>
      <w:keepNext/>
      <w:spacing w:before="320" w:after="200"/>
      <w:outlineLvl w:val="3"/>
    </w:pPr>
    <w:rPr>
      <w:rFonts w:ascii="Arial" w:hAnsi="Arial" w:eastAsia="Arial" w:cs="Arial"/>
      <w:b/>
      <w:bCs/>
      <w:sz w:val="26"/>
      <w:szCs w:val="26"/>
    </w:rPr>
  </w:style>
  <w:style w:type="character" w:styleId="1105">
    <w:name w:val="Heading 4 Char"/>
    <w:link w:val="1104"/>
    <w:uiPriority w:val="9"/>
    <w:rPr>
      <w:rFonts w:ascii="Arial" w:hAnsi="Arial" w:eastAsia="Arial" w:cs="Arial"/>
      <w:b/>
      <w:bCs/>
      <w:sz w:val="26"/>
      <w:szCs w:val="26"/>
    </w:rPr>
  </w:style>
  <w:style w:type="paragraph" w:styleId="1106">
    <w:name w:val="Heading 5"/>
    <w:basedOn w:val="1275"/>
    <w:next w:val="1275"/>
    <w:link w:val="1107"/>
    <w:uiPriority w:val="9"/>
    <w:unhideWhenUsed/>
    <w:qFormat/>
    <w:pPr>
      <w:keepLines/>
      <w:keepNext/>
      <w:spacing w:before="320" w:after="200"/>
      <w:outlineLvl w:val="4"/>
    </w:pPr>
    <w:rPr>
      <w:rFonts w:ascii="Arial" w:hAnsi="Arial" w:eastAsia="Arial" w:cs="Arial"/>
      <w:b/>
      <w:bCs/>
      <w:sz w:val="24"/>
      <w:szCs w:val="24"/>
    </w:rPr>
  </w:style>
  <w:style w:type="character" w:styleId="1107">
    <w:name w:val="Heading 5 Char"/>
    <w:link w:val="1106"/>
    <w:uiPriority w:val="9"/>
    <w:rPr>
      <w:rFonts w:ascii="Arial" w:hAnsi="Arial" w:eastAsia="Arial" w:cs="Arial"/>
      <w:b/>
      <w:bCs/>
      <w:sz w:val="24"/>
      <w:szCs w:val="24"/>
    </w:rPr>
  </w:style>
  <w:style w:type="paragraph" w:styleId="1108">
    <w:name w:val="Heading 6"/>
    <w:basedOn w:val="1275"/>
    <w:next w:val="1275"/>
    <w:link w:val="1109"/>
    <w:uiPriority w:val="9"/>
    <w:unhideWhenUsed/>
    <w:qFormat/>
    <w:pPr>
      <w:keepLines/>
      <w:keepNext/>
      <w:spacing w:before="320" w:after="200"/>
      <w:outlineLvl w:val="5"/>
    </w:pPr>
    <w:rPr>
      <w:rFonts w:ascii="Arial" w:hAnsi="Arial" w:eastAsia="Arial" w:cs="Arial"/>
      <w:b/>
      <w:bCs/>
      <w:sz w:val="22"/>
      <w:szCs w:val="22"/>
    </w:rPr>
  </w:style>
  <w:style w:type="character" w:styleId="1109">
    <w:name w:val="Heading 6 Char"/>
    <w:link w:val="1108"/>
    <w:uiPriority w:val="9"/>
    <w:rPr>
      <w:rFonts w:ascii="Arial" w:hAnsi="Arial" w:eastAsia="Arial" w:cs="Arial"/>
      <w:b/>
      <w:bCs/>
      <w:sz w:val="22"/>
      <w:szCs w:val="22"/>
    </w:rPr>
  </w:style>
  <w:style w:type="paragraph" w:styleId="1110">
    <w:name w:val="Heading 7"/>
    <w:basedOn w:val="1275"/>
    <w:next w:val="1275"/>
    <w:link w:val="1111"/>
    <w:uiPriority w:val="9"/>
    <w:unhideWhenUsed/>
    <w:qFormat/>
    <w:pPr>
      <w:keepLines/>
      <w:keepNext/>
      <w:spacing w:before="320" w:after="200"/>
      <w:outlineLvl w:val="6"/>
    </w:pPr>
    <w:rPr>
      <w:rFonts w:ascii="Arial" w:hAnsi="Arial" w:eastAsia="Arial" w:cs="Arial"/>
      <w:b/>
      <w:bCs/>
      <w:i/>
      <w:iCs/>
      <w:sz w:val="22"/>
      <w:szCs w:val="22"/>
    </w:rPr>
  </w:style>
  <w:style w:type="character" w:styleId="1111">
    <w:name w:val="Heading 7 Char"/>
    <w:link w:val="1110"/>
    <w:uiPriority w:val="9"/>
    <w:rPr>
      <w:rFonts w:ascii="Arial" w:hAnsi="Arial" w:eastAsia="Arial" w:cs="Arial"/>
      <w:b/>
      <w:bCs/>
      <w:i/>
      <w:iCs/>
      <w:sz w:val="22"/>
      <w:szCs w:val="22"/>
    </w:rPr>
  </w:style>
  <w:style w:type="paragraph" w:styleId="1112">
    <w:name w:val="Heading 8"/>
    <w:basedOn w:val="1275"/>
    <w:next w:val="1275"/>
    <w:link w:val="1113"/>
    <w:uiPriority w:val="9"/>
    <w:unhideWhenUsed/>
    <w:qFormat/>
    <w:pPr>
      <w:keepLines/>
      <w:keepNext/>
      <w:spacing w:before="320" w:after="200"/>
      <w:outlineLvl w:val="7"/>
    </w:pPr>
    <w:rPr>
      <w:rFonts w:ascii="Arial" w:hAnsi="Arial" w:eastAsia="Arial" w:cs="Arial"/>
      <w:i/>
      <w:iCs/>
      <w:sz w:val="22"/>
      <w:szCs w:val="22"/>
    </w:rPr>
  </w:style>
  <w:style w:type="character" w:styleId="1113">
    <w:name w:val="Heading 8 Char"/>
    <w:link w:val="1112"/>
    <w:uiPriority w:val="9"/>
    <w:rPr>
      <w:rFonts w:ascii="Arial" w:hAnsi="Arial" w:eastAsia="Arial" w:cs="Arial"/>
      <w:i/>
      <w:iCs/>
      <w:sz w:val="22"/>
      <w:szCs w:val="22"/>
    </w:rPr>
  </w:style>
  <w:style w:type="paragraph" w:styleId="1114">
    <w:name w:val="Heading 9"/>
    <w:basedOn w:val="1275"/>
    <w:next w:val="1275"/>
    <w:link w:val="1115"/>
    <w:uiPriority w:val="9"/>
    <w:unhideWhenUsed/>
    <w:qFormat/>
    <w:pPr>
      <w:keepLines/>
      <w:keepNext/>
      <w:spacing w:before="320" w:after="200"/>
      <w:outlineLvl w:val="8"/>
    </w:pPr>
    <w:rPr>
      <w:rFonts w:ascii="Arial" w:hAnsi="Arial" w:eastAsia="Arial" w:cs="Arial"/>
      <w:i/>
      <w:iCs/>
      <w:sz w:val="21"/>
      <w:szCs w:val="21"/>
    </w:rPr>
  </w:style>
  <w:style w:type="character" w:styleId="1115">
    <w:name w:val="Heading 9 Char"/>
    <w:link w:val="1114"/>
    <w:uiPriority w:val="9"/>
    <w:rPr>
      <w:rFonts w:ascii="Arial" w:hAnsi="Arial" w:eastAsia="Arial" w:cs="Arial"/>
      <w:i/>
      <w:iCs/>
      <w:sz w:val="21"/>
      <w:szCs w:val="21"/>
    </w:rPr>
  </w:style>
  <w:style w:type="paragraph" w:styleId="1116">
    <w:name w:val="No Spacing"/>
    <w:uiPriority w:val="1"/>
    <w:qFormat/>
    <w:pPr>
      <w:spacing w:before="0" w:after="0" w:line="240" w:lineRule="auto"/>
    </w:pPr>
  </w:style>
  <w:style w:type="paragraph" w:styleId="1117">
    <w:name w:val="Title"/>
    <w:basedOn w:val="1275"/>
    <w:next w:val="1275"/>
    <w:link w:val="1118"/>
    <w:uiPriority w:val="10"/>
    <w:qFormat/>
    <w:pPr>
      <w:contextualSpacing/>
      <w:spacing w:before="300" w:after="200"/>
    </w:pPr>
    <w:rPr>
      <w:sz w:val="48"/>
      <w:szCs w:val="48"/>
    </w:rPr>
  </w:style>
  <w:style w:type="character" w:styleId="1118">
    <w:name w:val="Title Char"/>
    <w:link w:val="1117"/>
    <w:uiPriority w:val="10"/>
    <w:rPr>
      <w:sz w:val="48"/>
      <w:szCs w:val="48"/>
    </w:rPr>
  </w:style>
  <w:style w:type="paragraph" w:styleId="1119">
    <w:name w:val="Subtitle"/>
    <w:basedOn w:val="1275"/>
    <w:next w:val="1275"/>
    <w:link w:val="1120"/>
    <w:uiPriority w:val="11"/>
    <w:qFormat/>
    <w:pPr>
      <w:spacing w:before="200" w:after="200"/>
    </w:pPr>
    <w:rPr>
      <w:sz w:val="24"/>
      <w:szCs w:val="24"/>
    </w:rPr>
  </w:style>
  <w:style w:type="character" w:styleId="1120">
    <w:name w:val="Subtitle Char"/>
    <w:link w:val="1119"/>
    <w:uiPriority w:val="11"/>
    <w:rPr>
      <w:sz w:val="24"/>
      <w:szCs w:val="24"/>
    </w:rPr>
  </w:style>
  <w:style w:type="paragraph" w:styleId="1121">
    <w:name w:val="Quote"/>
    <w:basedOn w:val="1275"/>
    <w:next w:val="1275"/>
    <w:link w:val="1122"/>
    <w:uiPriority w:val="29"/>
    <w:qFormat/>
    <w:pPr>
      <w:ind w:left="720" w:right="720"/>
    </w:pPr>
    <w:rPr>
      <w:i/>
    </w:rPr>
  </w:style>
  <w:style w:type="character" w:styleId="1122">
    <w:name w:val="Quote Char"/>
    <w:link w:val="1121"/>
    <w:uiPriority w:val="29"/>
    <w:rPr>
      <w:i/>
    </w:rPr>
  </w:style>
  <w:style w:type="paragraph" w:styleId="1123">
    <w:name w:val="Intense Quote"/>
    <w:basedOn w:val="1275"/>
    <w:next w:val="1275"/>
    <w:link w:val="11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4">
    <w:name w:val="Intense Quote Char"/>
    <w:link w:val="1123"/>
    <w:uiPriority w:val="30"/>
    <w:rPr>
      <w:i/>
    </w:rPr>
  </w:style>
  <w:style w:type="paragraph" w:styleId="1125">
    <w:name w:val="Header"/>
    <w:basedOn w:val="1275"/>
    <w:link w:val="1126"/>
    <w:uiPriority w:val="99"/>
    <w:unhideWhenUsed/>
    <w:pPr>
      <w:spacing w:after="0" w:line="240" w:lineRule="auto"/>
      <w:tabs>
        <w:tab w:val="center" w:pos="7143" w:leader="none"/>
        <w:tab w:val="right" w:pos="14287" w:leader="none"/>
      </w:tabs>
    </w:pPr>
  </w:style>
  <w:style w:type="character" w:styleId="1126">
    <w:name w:val="Header Char"/>
    <w:link w:val="1125"/>
    <w:uiPriority w:val="99"/>
  </w:style>
  <w:style w:type="paragraph" w:styleId="1127">
    <w:name w:val="Footer"/>
    <w:basedOn w:val="1275"/>
    <w:link w:val="1130"/>
    <w:uiPriority w:val="99"/>
    <w:unhideWhenUsed/>
    <w:pPr>
      <w:spacing w:after="0" w:line="240" w:lineRule="auto"/>
      <w:tabs>
        <w:tab w:val="center" w:pos="7143" w:leader="none"/>
        <w:tab w:val="right" w:pos="14287" w:leader="none"/>
      </w:tabs>
    </w:pPr>
  </w:style>
  <w:style w:type="character" w:styleId="1128">
    <w:name w:val="Footer Char"/>
    <w:link w:val="1127"/>
    <w:uiPriority w:val="99"/>
  </w:style>
  <w:style w:type="paragraph" w:styleId="1129">
    <w:name w:val="Caption"/>
    <w:basedOn w:val="1275"/>
    <w:next w:val="1275"/>
    <w:uiPriority w:val="35"/>
    <w:semiHidden/>
    <w:unhideWhenUsed/>
    <w:qFormat/>
    <w:pPr>
      <w:spacing w:line="276" w:lineRule="auto"/>
    </w:pPr>
    <w:rPr>
      <w:b/>
      <w:bCs/>
      <w:color w:val="4f81bd" w:themeColor="accent1"/>
      <w:sz w:val="18"/>
      <w:szCs w:val="18"/>
    </w:rPr>
  </w:style>
  <w:style w:type="character" w:styleId="1130">
    <w:name w:val="Caption Char"/>
    <w:basedOn w:val="1129"/>
    <w:link w:val="1127"/>
    <w:uiPriority w:val="99"/>
  </w:style>
  <w:style w:type="table" w:styleId="11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57">
    <w:name w:val="Hyperlink"/>
    <w:uiPriority w:val="99"/>
    <w:unhideWhenUsed/>
    <w:rPr>
      <w:color w:val="0000ff" w:themeColor="hyperlink"/>
      <w:u w:val="single"/>
    </w:rPr>
  </w:style>
  <w:style w:type="paragraph" w:styleId="1258">
    <w:name w:val="footnote text"/>
    <w:basedOn w:val="1275"/>
    <w:link w:val="1259"/>
    <w:uiPriority w:val="99"/>
    <w:semiHidden/>
    <w:unhideWhenUsed/>
    <w:pPr>
      <w:spacing w:after="40" w:line="240" w:lineRule="auto"/>
    </w:pPr>
    <w:rPr>
      <w:sz w:val="18"/>
    </w:rPr>
  </w:style>
  <w:style w:type="character" w:styleId="1259">
    <w:name w:val="Footnote Text Char"/>
    <w:link w:val="1258"/>
    <w:uiPriority w:val="99"/>
    <w:rPr>
      <w:sz w:val="18"/>
    </w:rPr>
  </w:style>
  <w:style w:type="character" w:styleId="1260">
    <w:name w:val="footnote reference"/>
    <w:uiPriority w:val="99"/>
    <w:unhideWhenUsed/>
    <w:rPr>
      <w:vertAlign w:val="superscript"/>
    </w:rPr>
  </w:style>
  <w:style w:type="paragraph" w:styleId="1261">
    <w:name w:val="endnote text"/>
    <w:basedOn w:val="1275"/>
    <w:link w:val="1262"/>
    <w:uiPriority w:val="99"/>
    <w:semiHidden/>
    <w:unhideWhenUsed/>
    <w:pPr>
      <w:spacing w:after="0" w:line="240" w:lineRule="auto"/>
    </w:pPr>
    <w:rPr>
      <w:sz w:val="20"/>
    </w:rPr>
  </w:style>
  <w:style w:type="character" w:styleId="1262">
    <w:name w:val="Endnote Text Char"/>
    <w:link w:val="1261"/>
    <w:uiPriority w:val="99"/>
    <w:rPr>
      <w:sz w:val="20"/>
    </w:rPr>
  </w:style>
  <w:style w:type="character" w:styleId="1263">
    <w:name w:val="endnote reference"/>
    <w:uiPriority w:val="99"/>
    <w:semiHidden/>
    <w:unhideWhenUsed/>
    <w:rPr>
      <w:vertAlign w:val="superscript"/>
    </w:rPr>
  </w:style>
  <w:style w:type="paragraph" w:styleId="1264">
    <w:name w:val="toc 1"/>
    <w:basedOn w:val="1275"/>
    <w:next w:val="1275"/>
    <w:uiPriority w:val="39"/>
    <w:unhideWhenUsed/>
    <w:pPr>
      <w:ind w:left="0" w:right="0" w:firstLine="0"/>
      <w:spacing w:after="57"/>
    </w:pPr>
  </w:style>
  <w:style w:type="paragraph" w:styleId="1265">
    <w:name w:val="toc 2"/>
    <w:basedOn w:val="1275"/>
    <w:next w:val="1275"/>
    <w:uiPriority w:val="39"/>
    <w:unhideWhenUsed/>
    <w:pPr>
      <w:ind w:left="283" w:right="0" w:firstLine="0"/>
      <w:spacing w:after="57"/>
    </w:pPr>
  </w:style>
  <w:style w:type="paragraph" w:styleId="1266">
    <w:name w:val="toc 3"/>
    <w:basedOn w:val="1275"/>
    <w:next w:val="1275"/>
    <w:uiPriority w:val="39"/>
    <w:unhideWhenUsed/>
    <w:pPr>
      <w:ind w:left="567" w:right="0" w:firstLine="0"/>
      <w:spacing w:after="57"/>
    </w:pPr>
  </w:style>
  <w:style w:type="paragraph" w:styleId="1267">
    <w:name w:val="toc 4"/>
    <w:basedOn w:val="1275"/>
    <w:next w:val="1275"/>
    <w:uiPriority w:val="39"/>
    <w:unhideWhenUsed/>
    <w:pPr>
      <w:ind w:left="850" w:right="0" w:firstLine="0"/>
      <w:spacing w:after="57"/>
    </w:pPr>
  </w:style>
  <w:style w:type="paragraph" w:styleId="1268">
    <w:name w:val="toc 5"/>
    <w:basedOn w:val="1275"/>
    <w:next w:val="1275"/>
    <w:uiPriority w:val="39"/>
    <w:unhideWhenUsed/>
    <w:pPr>
      <w:ind w:left="1134" w:right="0" w:firstLine="0"/>
      <w:spacing w:after="57"/>
    </w:pPr>
  </w:style>
  <w:style w:type="paragraph" w:styleId="1269">
    <w:name w:val="toc 6"/>
    <w:basedOn w:val="1275"/>
    <w:next w:val="1275"/>
    <w:uiPriority w:val="39"/>
    <w:unhideWhenUsed/>
    <w:pPr>
      <w:ind w:left="1417" w:right="0" w:firstLine="0"/>
      <w:spacing w:after="57"/>
    </w:pPr>
  </w:style>
  <w:style w:type="paragraph" w:styleId="1270">
    <w:name w:val="toc 7"/>
    <w:basedOn w:val="1275"/>
    <w:next w:val="1275"/>
    <w:uiPriority w:val="39"/>
    <w:unhideWhenUsed/>
    <w:pPr>
      <w:ind w:left="1701" w:right="0" w:firstLine="0"/>
      <w:spacing w:after="57"/>
    </w:pPr>
  </w:style>
  <w:style w:type="paragraph" w:styleId="1271">
    <w:name w:val="toc 8"/>
    <w:basedOn w:val="1275"/>
    <w:next w:val="1275"/>
    <w:uiPriority w:val="39"/>
    <w:unhideWhenUsed/>
    <w:pPr>
      <w:ind w:left="1984" w:right="0" w:firstLine="0"/>
      <w:spacing w:after="57"/>
    </w:pPr>
  </w:style>
  <w:style w:type="paragraph" w:styleId="1272">
    <w:name w:val="toc 9"/>
    <w:basedOn w:val="1275"/>
    <w:next w:val="1275"/>
    <w:uiPriority w:val="39"/>
    <w:unhideWhenUsed/>
    <w:pPr>
      <w:ind w:left="2268" w:right="0" w:firstLine="0"/>
      <w:spacing w:after="57"/>
    </w:pPr>
  </w:style>
  <w:style w:type="paragraph" w:styleId="1273">
    <w:name w:val="TOC Heading"/>
    <w:uiPriority w:val="39"/>
    <w:unhideWhenUsed/>
  </w:style>
  <w:style w:type="paragraph" w:styleId="1274">
    <w:name w:val="table of figures"/>
    <w:basedOn w:val="1275"/>
    <w:next w:val="1275"/>
    <w:uiPriority w:val="99"/>
    <w:unhideWhenUsed/>
    <w:pPr>
      <w:spacing w:after="0" w:afterAutospacing="0"/>
    </w:pPr>
  </w:style>
  <w:style w:type="paragraph" w:styleId="1275" w:default="1">
    <w:name w:val="Normal"/>
    <w:next w:val="1275"/>
    <w:link w:val="1275"/>
    <w:qFormat/>
    <w:pPr>
      <w:jc w:val="both"/>
      <w:widowControl w:val="off"/>
    </w:pPr>
    <w:rPr>
      <w:sz w:val="21"/>
      <w:lang w:val="en-US" w:eastAsia="zh-CN" w:bidi="ar-SA"/>
    </w:rPr>
  </w:style>
  <w:style w:type="paragraph" w:styleId="1276">
    <w:name w:val="标题 1"/>
    <w:basedOn w:val="1275"/>
    <w:next w:val="1275"/>
    <w:link w:val="1282"/>
    <w:qFormat/>
    <w:pPr>
      <w:jc w:val="center"/>
      <w:keepNext/>
      <w:spacing w:line="440" w:lineRule="exact"/>
      <w:widowControl w:val="off"/>
      <w:outlineLvl w:val="0"/>
    </w:pPr>
    <w:rPr>
      <w:rFonts w:ascii="宋体"/>
      <w:sz w:val="28"/>
    </w:rPr>
  </w:style>
  <w:style w:type="paragraph" w:styleId="1277">
    <w:name w:val="标题 2"/>
    <w:basedOn w:val="1275"/>
    <w:next w:val="1275"/>
    <w:link w:val="1275"/>
    <w:qFormat/>
    <w:pPr>
      <w:keepLines/>
      <w:keepNext/>
      <w:spacing w:before="260" w:after="260" w:line="415" w:lineRule="auto"/>
      <w:widowControl w:val="off"/>
      <w:outlineLvl w:val="1"/>
    </w:pPr>
    <w:rPr>
      <w:rFonts w:ascii="Arial" w:hAnsi="Arial" w:eastAsia="黑体"/>
      <w:b/>
      <w:bCs/>
      <w:sz w:val="32"/>
      <w:szCs w:val="32"/>
    </w:rPr>
  </w:style>
  <w:style w:type="paragraph" w:styleId="1278">
    <w:name w:val="标题 3"/>
    <w:basedOn w:val="1275"/>
    <w:next w:val="1283"/>
    <w:link w:val="1275"/>
    <w:qFormat/>
    <w:pPr>
      <w:ind w:left="480" w:hanging="480"/>
      <w:jc w:val="center"/>
      <w:keepNext/>
      <w:spacing w:line="400" w:lineRule="exact"/>
      <w:widowControl w:val="off"/>
      <w:tabs>
        <w:tab w:val="left" w:pos="480" w:leader="none"/>
      </w:tabs>
      <w:outlineLvl w:val="2"/>
    </w:pPr>
    <w:rPr>
      <w:rFonts w:ascii="仿宋_GB2312" w:hAnsi="仿宋_GB2312" w:eastAsia="仿宋_GB2312"/>
      <w:sz w:val="32"/>
    </w:rPr>
  </w:style>
  <w:style w:type="paragraph" w:styleId="1279">
    <w:name w:val="标题 4"/>
    <w:basedOn w:val="1275"/>
    <w:next w:val="1275"/>
    <w:link w:val="1275"/>
    <w:qFormat/>
    <w:pPr>
      <w:keepLines/>
      <w:keepNext/>
      <w:spacing w:before="280" w:after="290" w:line="372" w:lineRule="auto"/>
      <w:widowControl w:val="off"/>
      <w:outlineLvl w:val="3"/>
    </w:pPr>
    <w:rPr>
      <w:rFonts w:ascii="Arial" w:hAnsi="Arial" w:eastAsia="黑体" w:cs="Arial"/>
      <w:b/>
      <w:bCs/>
      <w:sz w:val="28"/>
      <w:szCs w:val="28"/>
      <w:lang w:bidi="ar-SA"/>
    </w:rPr>
  </w:style>
  <w:style w:type="character" w:styleId="1280">
    <w:name w:val="默认段落字体"/>
    <w:next w:val="1280"/>
    <w:link w:val="1275"/>
  </w:style>
  <w:style w:type="table" w:styleId="1281">
    <w:name w:val="普通表格"/>
    <w:next w:val="1281"/>
    <w:link w:val="12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82">
    <w:name w:val="标题 1 字符"/>
    <w:next w:val="1282"/>
    <w:link w:val="1276"/>
    <w:rPr>
      <w:rFonts w:ascii="宋体"/>
      <w:sz w:val="28"/>
    </w:rPr>
  </w:style>
  <w:style w:type="paragraph" w:styleId="1283">
    <w:name w:val="正文缩进"/>
    <w:basedOn w:val="1275"/>
    <w:next w:val="1283"/>
    <w:link w:val="1275"/>
    <w:pPr>
      <w:ind w:firstLine="420"/>
    </w:pPr>
    <w:rPr>
      <w:b/>
      <w:sz w:val="24"/>
    </w:rPr>
  </w:style>
  <w:style w:type="paragraph" w:styleId="1284">
    <w:name w:val="列表 3"/>
    <w:basedOn w:val="1275"/>
    <w:next w:val="1284"/>
    <w:link w:val="1275"/>
    <w:pPr>
      <w:contextualSpacing/>
      <w:ind w:left="600" w:hanging="200"/>
    </w:pPr>
  </w:style>
  <w:style w:type="paragraph" w:styleId="1285">
    <w:name w:val="目录 7"/>
    <w:basedOn w:val="1275"/>
    <w:next w:val="1275"/>
    <w:link w:val="1275"/>
    <w:pPr>
      <w:ind w:left="1200"/>
    </w:pPr>
  </w:style>
  <w:style w:type="paragraph" w:styleId="1286">
    <w:name w:val="注释标题"/>
    <w:basedOn w:val="1275"/>
    <w:next w:val="1275"/>
    <w:link w:val="1275"/>
    <w:uiPriority w:val="99"/>
    <w:qFormat/>
    <w:rPr>
      <w:rFonts w:ascii="Verdana" w:hAnsi="Verdana"/>
      <w:szCs w:val="20"/>
    </w:rPr>
  </w:style>
  <w:style w:type="paragraph" w:styleId="1287">
    <w:name w:val="文档结构图"/>
    <w:basedOn w:val="1275"/>
    <w:next w:val="1287"/>
    <w:link w:val="1275"/>
    <w:rPr>
      <w:rFonts w:ascii="宋体"/>
      <w:sz w:val="18"/>
      <w:szCs w:val="18"/>
    </w:rPr>
  </w:style>
  <w:style w:type="paragraph" w:styleId="1288">
    <w:name w:val="批注文字"/>
    <w:basedOn w:val="1275"/>
    <w:next w:val="1288"/>
    <w:link w:val="1275"/>
    <w:pPr>
      <w:jc w:val="left"/>
    </w:pPr>
  </w:style>
  <w:style w:type="paragraph" w:styleId="1289">
    <w:name w:val="正文文本"/>
    <w:basedOn w:val="1275"/>
    <w:next w:val="1289"/>
    <w:link w:val="1275"/>
    <w:rPr>
      <w:rFonts w:ascii="宋体"/>
      <w:sz w:val="28"/>
    </w:rPr>
  </w:style>
  <w:style w:type="paragraph" w:styleId="1290">
    <w:name w:val="正文文本缩进"/>
    <w:basedOn w:val="1275"/>
    <w:next w:val="1290"/>
    <w:link w:val="1275"/>
    <w:pPr>
      <w:ind w:firstLine="420"/>
      <w:spacing w:line="360" w:lineRule="auto"/>
    </w:pPr>
    <w:rPr>
      <w:rFonts w:ascii="宋体"/>
      <w:sz w:val="24"/>
    </w:rPr>
  </w:style>
  <w:style w:type="paragraph" w:styleId="1291">
    <w:name w:val="列表 2"/>
    <w:basedOn w:val="1275"/>
    <w:next w:val="1291"/>
    <w:link w:val="1275"/>
    <w:pPr>
      <w:ind w:left="400" w:hanging="200"/>
    </w:pPr>
  </w:style>
  <w:style w:type="paragraph" w:styleId="1292">
    <w:name w:val="文本块"/>
    <w:basedOn w:val="1275"/>
    <w:next w:val="1292"/>
    <w:link w:val="1275"/>
    <w:pPr>
      <w:ind w:left="540" w:right="26"/>
    </w:pPr>
    <w:rPr>
      <w:sz w:val="24"/>
    </w:rPr>
  </w:style>
  <w:style w:type="paragraph" w:styleId="1293">
    <w:name w:val="索引 4"/>
    <w:basedOn w:val="1275"/>
    <w:next w:val="1275"/>
    <w:link w:val="1275"/>
    <w:unhideWhenUsed/>
    <w:qFormat/>
    <w:pPr>
      <w:ind w:left="600"/>
    </w:pPr>
  </w:style>
  <w:style w:type="paragraph" w:styleId="1294">
    <w:name w:val="目录 5"/>
    <w:basedOn w:val="1275"/>
    <w:next w:val="1275"/>
    <w:link w:val="1275"/>
    <w:pPr>
      <w:ind w:left="800"/>
    </w:pPr>
  </w:style>
  <w:style w:type="paragraph" w:styleId="1295">
    <w:name w:val="目录 3"/>
    <w:basedOn w:val="1275"/>
    <w:next w:val="1275"/>
    <w:link w:val="1275"/>
    <w:pPr>
      <w:ind w:left="400"/>
    </w:pPr>
  </w:style>
  <w:style w:type="paragraph" w:styleId="1296">
    <w:name w:val="纯文本"/>
    <w:basedOn w:val="1275"/>
    <w:next w:val="1296"/>
    <w:link w:val="1275"/>
    <w:rPr>
      <w:rFonts w:ascii="宋体"/>
    </w:rPr>
  </w:style>
  <w:style w:type="paragraph" w:styleId="1297">
    <w:name w:val="目录 8"/>
    <w:basedOn w:val="1275"/>
    <w:next w:val="1275"/>
    <w:link w:val="1275"/>
    <w:pPr>
      <w:ind w:left="1400"/>
    </w:pPr>
  </w:style>
  <w:style w:type="paragraph" w:styleId="1298">
    <w:name w:val="日期"/>
    <w:basedOn w:val="1275"/>
    <w:next w:val="1275"/>
    <w:link w:val="1275"/>
    <w:rPr>
      <w:rFonts w:ascii="宋体"/>
    </w:rPr>
  </w:style>
  <w:style w:type="paragraph" w:styleId="1299">
    <w:name w:val="正文文本缩进 2"/>
    <w:basedOn w:val="1275"/>
    <w:next w:val="1299"/>
    <w:link w:val="1275"/>
    <w:pPr>
      <w:ind w:firstLine="525"/>
      <w:spacing w:line="420" w:lineRule="exact"/>
    </w:pPr>
    <w:rPr>
      <w:rFonts w:ascii="宋体"/>
    </w:rPr>
  </w:style>
  <w:style w:type="paragraph" w:styleId="1300">
    <w:name w:val="批注框文本"/>
    <w:basedOn w:val="1275"/>
    <w:next w:val="1300"/>
    <w:link w:val="1275"/>
    <w:rPr>
      <w:sz w:val="18"/>
      <w:szCs w:val="18"/>
    </w:rPr>
  </w:style>
  <w:style w:type="paragraph" w:styleId="1301">
    <w:name w:val="页脚"/>
    <w:basedOn w:val="1275"/>
    <w:next w:val="1301"/>
    <w:link w:val="1275"/>
    <w:pPr>
      <w:jc w:val="left"/>
      <w:tabs>
        <w:tab w:val="center" w:pos="4153" w:leader="none"/>
        <w:tab w:val="right" w:pos="8306" w:leader="none"/>
      </w:tabs>
    </w:pPr>
    <w:rPr>
      <w:sz w:val="18"/>
    </w:rPr>
  </w:style>
  <w:style w:type="paragraph" w:styleId="1302">
    <w:name w:val="页眉"/>
    <w:basedOn w:val="1275"/>
    <w:next w:val="1302"/>
    <w:link w:val="1275"/>
    <w:pPr>
      <w:jc w:val="center"/>
      <w:tabs>
        <w:tab w:val="center" w:pos="4153" w:leader="none"/>
        <w:tab w:val="right" w:pos="8306" w:leader="none"/>
      </w:tabs>
      <w:pBdr>
        <w:bottom w:val="single" w:color="000000" w:sz="6" w:space="1"/>
      </w:pBdr>
    </w:pPr>
    <w:rPr>
      <w:sz w:val="18"/>
    </w:rPr>
  </w:style>
  <w:style w:type="paragraph" w:styleId="1303">
    <w:name w:val="目录 1"/>
    <w:basedOn w:val="1275"/>
    <w:next w:val="1275"/>
    <w:link w:val="1275"/>
  </w:style>
  <w:style w:type="paragraph" w:styleId="1304">
    <w:name w:val="目录 4"/>
    <w:basedOn w:val="1275"/>
    <w:next w:val="1275"/>
    <w:link w:val="1275"/>
    <w:pPr>
      <w:ind w:left="600"/>
    </w:pPr>
  </w:style>
  <w:style w:type="paragraph" w:styleId="1305">
    <w:name w:val="目录 6"/>
    <w:basedOn w:val="1275"/>
    <w:next w:val="1275"/>
    <w:link w:val="1275"/>
    <w:pPr>
      <w:ind w:left="1000"/>
    </w:pPr>
  </w:style>
  <w:style w:type="paragraph" w:styleId="1306">
    <w:name w:val="正文文本缩进 3"/>
    <w:basedOn w:val="1275"/>
    <w:next w:val="1306"/>
    <w:link w:val="1275"/>
    <w:pPr>
      <w:ind w:firstLine="100"/>
    </w:pPr>
    <w:rPr>
      <w:rFonts w:eastAsia="华文新魏"/>
      <w:b/>
      <w:bCs/>
      <w:sz w:val="84"/>
    </w:rPr>
  </w:style>
  <w:style w:type="paragraph" w:styleId="1307">
    <w:name w:val="目录 2"/>
    <w:basedOn w:val="1275"/>
    <w:next w:val="1275"/>
    <w:link w:val="1275"/>
    <w:pPr>
      <w:ind w:left="200"/>
    </w:pPr>
  </w:style>
  <w:style w:type="paragraph" w:styleId="1308">
    <w:name w:val="目录 9"/>
    <w:basedOn w:val="1275"/>
    <w:next w:val="1275"/>
    <w:link w:val="1275"/>
    <w:pPr>
      <w:ind w:left="1600"/>
    </w:pPr>
  </w:style>
  <w:style w:type="paragraph" w:styleId="1309">
    <w:name w:val="HTML 预设格式"/>
    <w:basedOn w:val="1275"/>
    <w:next w:val="1309"/>
    <w:link w:val="127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lang w:bidi="ar-SA"/>
    </w:rPr>
  </w:style>
  <w:style w:type="paragraph" w:styleId="1310">
    <w:name w:val="普通(网站)"/>
    <w:basedOn w:val="1275"/>
    <w:next w:val="1310"/>
    <w:link w:val="1275"/>
    <w:pPr>
      <w:jc w:val="left"/>
      <w:spacing w:before="100" w:beforeAutospacing="1" w:after="100" w:afterAutospacing="1"/>
      <w:widowControl/>
    </w:pPr>
    <w:rPr>
      <w:rFonts w:ascii="Arial Unicode MS" w:hAnsi="Arial Unicode MS" w:eastAsia="Arial Unicode MS"/>
      <w:color w:val="000000"/>
      <w:sz w:val="24"/>
      <w:szCs w:val="24"/>
    </w:rPr>
  </w:style>
  <w:style w:type="paragraph" w:styleId="1311">
    <w:name w:val="标题"/>
    <w:basedOn w:val="1275"/>
    <w:next w:val="1311"/>
    <w:link w:val="1275"/>
    <w:qFormat/>
    <w:pPr>
      <w:jc w:val="center"/>
    </w:pPr>
    <w:rPr>
      <w:sz w:val="30"/>
      <w:szCs w:val="24"/>
    </w:rPr>
  </w:style>
  <w:style w:type="paragraph" w:styleId="1312">
    <w:name w:val="批注主题"/>
    <w:basedOn w:val="1288"/>
    <w:next w:val="1288"/>
    <w:link w:val="1275"/>
    <w:rPr>
      <w:b/>
      <w:bCs/>
    </w:rPr>
  </w:style>
  <w:style w:type="paragraph" w:styleId="1313">
    <w:name w:val="正文首行缩进"/>
    <w:basedOn w:val="1289"/>
    <w:next w:val="1313"/>
    <w:link w:val="1275"/>
    <w:pPr>
      <w:ind w:firstLine="100"/>
    </w:pPr>
  </w:style>
  <w:style w:type="paragraph" w:styleId="1314">
    <w:name w:val="正文首行缩进 2"/>
    <w:next w:val="1314"/>
    <w:link w:val="1275"/>
    <w:qFormat/>
    <w:pPr>
      <w:ind w:firstLine="420"/>
      <w:jc w:val="both"/>
      <w:spacing w:line="360" w:lineRule="auto"/>
      <w:widowControl w:val="off"/>
    </w:pPr>
    <w:rPr>
      <w:rFonts w:ascii="宋体"/>
      <w:sz w:val="24"/>
      <w:lang w:val="en-US" w:eastAsia="zh-CN" w:bidi="ar-SA"/>
    </w:rPr>
  </w:style>
  <w:style w:type="table" w:styleId="1315">
    <w:name w:val="网格型"/>
    <w:basedOn w:val="1281"/>
    <w:next w:val="1315"/>
    <w:link w:val="1275"/>
    <w:uiPriority w:val="59"/>
    <w:qFormat/>
    <w:tblPr/>
  </w:style>
  <w:style w:type="character" w:styleId="1316">
    <w:name w:val="要点"/>
    <w:next w:val="1316"/>
    <w:link w:val="1275"/>
    <w:qFormat/>
    <w:rPr>
      <w:b/>
      <w:bCs/>
    </w:rPr>
  </w:style>
  <w:style w:type="character" w:styleId="1317">
    <w:name w:val="页码"/>
    <w:next w:val="1317"/>
    <w:link w:val="1275"/>
  </w:style>
  <w:style w:type="character" w:styleId="1318">
    <w:name w:val="已访问的超链接"/>
    <w:next w:val="1318"/>
    <w:link w:val="1275"/>
    <w:rPr>
      <w:color w:val="000000"/>
      <w:sz w:val="18"/>
      <w:szCs w:val="18"/>
      <w:u w:val="none"/>
    </w:rPr>
  </w:style>
  <w:style w:type="character" w:styleId="1319">
    <w:name w:val="强调"/>
    <w:next w:val="1319"/>
    <w:link w:val="1275"/>
    <w:uiPriority w:val="20"/>
    <w:qFormat/>
    <w:rPr>
      <w:i/>
    </w:rPr>
  </w:style>
  <w:style w:type="character" w:styleId="1320">
    <w:name w:val="超链接"/>
    <w:next w:val="1320"/>
    <w:link w:val="1275"/>
    <w:rPr>
      <w:color w:val="000000"/>
      <w:sz w:val="18"/>
      <w:szCs w:val="18"/>
      <w:u w:val="none"/>
    </w:rPr>
  </w:style>
  <w:style w:type="character" w:styleId="1321">
    <w:name w:val="批注引用"/>
    <w:next w:val="1321"/>
    <w:link w:val="1275"/>
    <w:rPr>
      <w:sz w:val="21"/>
      <w:szCs w:val="21"/>
    </w:rPr>
  </w:style>
  <w:style w:type="character" w:styleId="1322">
    <w:name w:val="font31"/>
    <w:next w:val="1322"/>
    <w:link w:val="1275"/>
    <w:rPr>
      <w:rFonts w:ascii="宋体" w:eastAsia="宋体" w:cs="宋体"/>
      <w:color w:val="000000"/>
      <w:sz w:val="20"/>
      <w:szCs w:val="20"/>
      <w:u w:val="none"/>
      <w:lang w:bidi="ar-SA"/>
    </w:rPr>
  </w:style>
  <w:style w:type="character" w:styleId="1323">
    <w:name w:val="c lh15"/>
    <w:next w:val="1323"/>
    <w:link w:val="1275"/>
  </w:style>
  <w:style w:type="character" w:styleId="1324">
    <w:name w:val="A13"/>
    <w:next w:val="1324"/>
    <w:link w:val="1275"/>
    <w:rPr>
      <w:rFonts w:ascii="Univers LT Std 45 Light" w:hAnsi="Univers LT Std 45 Light" w:eastAsia="Univers LT Std 45 Light" w:cs="Univers LT Std 45 Light"/>
      <w:color w:val="221e1f"/>
      <w:sz w:val="10"/>
      <w:szCs w:val="10"/>
      <w:lang w:bidi="ar-SA"/>
    </w:rPr>
  </w:style>
  <w:style w:type="character" w:styleId="1325">
    <w:name w:val="页脚 字符"/>
    <w:next w:val="1325"/>
    <w:link w:val="1275"/>
  </w:style>
  <w:style w:type="character" w:styleId="1326">
    <w:name w:val="style21"/>
    <w:next w:val="1326"/>
    <w:link w:val="1275"/>
    <w:rPr>
      <w:sz w:val="18"/>
      <w:szCs w:val="18"/>
    </w:rPr>
  </w:style>
  <w:style w:type="character" w:styleId="1327">
    <w:name w:val="font21"/>
    <w:next w:val="1327"/>
    <w:link w:val="1275"/>
    <w:rPr>
      <w:rFonts w:ascii="宋体" w:eastAsia="宋体" w:cs="宋体"/>
      <w:color w:val="000000"/>
      <w:sz w:val="20"/>
      <w:szCs w:val="20"/>
      <w:u w:val="none"/>
      <w:lang w:bidi="ar-SA"/>
    </w:rPr>
  </w:style>
  <w:style w:type="paragraph" w:styleId="1328">
    <w:name w:val="BodyText1I1"/>
    <w:basedOn w:val="1329"/>
    <w:next w:val="1328"/>
    <w:link w:val="1275"/>
    <w:qFormat/>
    <w:pPr>
      <w:ind w:left="120" w:firstLine="420"/>
      <w:jc w:val="both"/>
      <w:spacing w:before="36"/>
    </w:pPr>
  </w:style>
  <w:style w:type="paragraph" w:styleId="1329">
    <w:name w:val="BodyText1"/>
    <w:basedOn w:val="1275"/>
    <w:next w:val="1275"/>
    <w:link w:val="1275"/>
    <w:qFormat/>
    <w:pPr>
      <w:ind w:left="120"/>
      <w:jc w:val="both"/>
      <w:spacing w:before="36"/>
    </w:pPr>
    <w:rPr>
      <w:rFonts w:ascii="宋体" w:hAnsi="宋体" w:eastAsia="宋体"/>
      <w:sz w:val="24"/>
      <w:szCs w:val="24"/>
      <w:lang w:val="en-US" w:eastAsia="zh-CN" w:bidi="ar-SA"/>
    </w:rPr>
  </w:style>
  <w:style w:type="paragraph" w:styleId="1330">
    <w:name w:val="Char Char"/>
    <w:basedOn w:val="1275"/>
    <w:next w:val="1330"/>
    <w:link w:val="1275"/>
    <w:pPr>
      <w:ind w:left="360" w:hanging="360"/>
    </w:pPr>
    <w:rPr>
      <w:sz w:val="24"/>
      <w:szCs w:val="24"/>
    </w:rPr>
  </w:style>
  <w:style w:type="paragraph" w:styleId="1331">
    <w:name w:val="列出段落5"/>
    <w:basedOn w:val="1275"/>
    <w:next w:val="1331"/>
    <w:link w:val="1275"/>
    <w:uiPriority w:val="34"/>
    <w:qFormat/>
    <w:pPr>
      <w:ind w:firstLine="420"/>
    </w:pPr>
    <w:rPr>
      <w:rFonts w:ascii="Calibri" w:hAnsi="Calibri"/>
      <w:szCs w:val="22"/>
    </w:rPr>
  </w:style>
  <w:style w:type="paragraph" w:styleId="1332">
    <w:name w:val="简单回函地址"/>
    <w:basedOn w:val="1275"/>
    <w:next w:val="1332"/>
    <w:link w:val="1275"/>
    <w:rPr>
      <w:szCs w:val="24"/>
    </w:rPr>
  </w:style>
  <w:style w:type="paragraph" w:styleId="1333">
    <w:name w:val="_Style 1"/>
    <w:basedOn w:val="1275"/>
    <w:next w:val="1333"/>
    <w:link w:val="1275"/>
    <w:pPr>
      <w:ind w:firstLine="200"/>
      <w:jc w:val="both"/>
      <w:spacing w:after="0" w:line="240" w:lineRule="auto"/>
      <w:widowControl w:val="off"/>
    </w:pPr>
    <w:rPr>
      <w:rFonts w:ascii="Calibri" w:hAnsi="Calibri" w:eastAsia="宋体" w:cs="Times New Roman"/>
      <w:sz w:val="21"/>
      <w:lang w:bidi="ar-SA"/>
    </w:rPr>
  </w:style>
  <w:style w:type="paragraph" w:styleId="1334">
    <w:name w:val="彩色列表 - 强调文字颜色 11"/>
    <w:basedOn w:val="1275"/>
    <w:next w:val="1334"/>
    <w:link w:val="1275"/>
    <w:pPr>
      <w:contextualSpacing/>
      <w:ind w:left="720"/>
      <w:jc w:val="left"/>
      <w:spacing w:before="100" w:after="100" w:line="276" w:lineRule="auto"/>
      <w:widowControl/>
    </w:pPr>
    <w:rPr>
      <w:rFonts w:ascii="Arial" w:hAnsi="Arial" w:cs="Arial"/>
      <w:color w:val="0f0f0f"/>
      <w:sz w:val="20"/>
      <w:lang w:eastAsia="en-US" w:bidi="ar-SA"/>
    </w:rPr>
  </w:style>
  <w:style w:type="paragraph" w:styleId="1335">
    <w:name w:val="样式 首行缩进:  2 字符"/>
    <w:basedOn w:val="1275"/>
    <w:next w:val="1335"/>
    <w:link w:val="1275"/>
    <w:pPr>
      <w:ind w:firstLine="200"/>
      <w:spacing w:line="400" w:lineRule="exact"/>
    </w:pPr>
    <w:rPr>
      <w:rFonts w:cs="宋体"/>
      <w:sz w:val="24"/>
      <w:szCs w:val="24"/>
      <w:lang w:bidi="ar-SA"/>
    </w:rPr>
  </w:style>
  <w:style w:type="paragraph" w:styleId="1336">
    <w:name w:val="head 1.1.1"/>
    <w:basedOn w:val="1337"/>
    <w:next w:val="1336"/>
    <w:link w:val="1275"/>
    <w:pPr>
      <w:numPr>
        <w:ilvl w:val="2"/>
        <w:numId w:val="1"/>
      </w:numPr>
      <w:ind w:left="720" w:firstLine="0"/>
      <w:tabs>
        <w:tab w:val="clear" w:pos="0" w:leader="none"/>
      </w:tabs>
    </w:pPr>
    <w:rPr>
      <w:bCs/>
      <w:sz w:val="20"/>
      <w:szCs w:val="24"/>
    </w:rPr>
  </w:style>
  <w:style w:type="paragraph" w:styleId="1337">
    <w:name w:val="列出段落"/>
    <w:basedOn w:val="1275"/>
    <w:next w:val="1337"/>
    <w:link w:val="1275"/>
    <w:qFormat/>
    <w:pPr>
      <w:ind w:firstLine="200"/>
      <w:jc w:val="both"/>
      <w:widowControl w:val="off"/>
    </w:pPr>
    <w:rPr>
      <w:rFonts w:ascii="Times New Roman" w:hAnsi="Times New Roman" w:eastAsia="宋体" w:cs="Times New Roman"/>
      <w:sz w:val="21"/>
      <w:szCs w:val="24"/>
      <w:lang w:val="en-US" w:eastAsia="zh-CN" w:bidi="ar-SA"/>
    </w:rPr>
  </w:style>
  <w:style w:type="paragraph" w:styleId="1338">
    <w:name w:val="Default"/>
    <w:next w:val="1338"/>
    <w:link w:val="1275"/>
    <w:unhideWhenUsed/>
    <w:qFormat/>
    <w:pPr>
      <w:widowControl w:val="off"/>
    </w:pPr>
    <w:rPr>
      <w:rFonts w:ascii="仿宋" w:hAnsi="仿宋" w:eastAsia="仿宋"/>
      <w:color w:val="000000"/>
      <w:sz w:val="24"/>
      <w:lang w:val="en-US" w:eastAsia="zh-CN" w:bidi="ar-SA"/>
    </w:rPr>
  </w:style>
  <w:style w:type="paragraph" w:styleId="1339">
    <w:name w:val=" Char Char Char Char Char Char Char"/>
    <w:basedOn w:val="1275"/>
    <w:next w:val="1339"/>
    <w:link w:val="1275"/>
    <w:rPr>
      <w:rFonts w:ascii="Tahoma" w:hAnsi="Tahoma" w:cs="仿宋_GB2312"/>
      <w:sz w:val="24"/>
      <w:szCs w:val="28"/>
      <w:lang w:bidi="ar-SA"/>
    </w:rPr>
  </w:style>
  <w:style w:type="paragraph" w:styleId="1340">
    <w:name w:val="List Paragraph"/>
    <w:basedOn w:val="1275"/>
    <w:next w:val="1340"/>
    <w:link w:val="1275"/>
    <w:uiPriority w:val="34"/>
    <w:qFormat/>
    <w:pPr>
      <w:ind w:firstLine="420"/>
    </w:pPr>
  </w:style>
  <w:style w:type="paragraph" w:styleId="1341">
    <w:name w:val="列表段落1"/>
    <w:basedOn w:val="1275"/>
    <w:next w:val="1341"/>
    <w:link w:val="1275"/>
    <w:qFormat/>
    <w:pPr>
      <w:ind w:firstLine="420"/>
    </w:pPr>
    <w:rPr>
      <w:rFonts w:ascii="Calibri" w:hAnsi="Calibri" w:eastAsia="宋体" w:cs="Times New Roman"/>
      <w:szCs w:val="24"/>
    </w:rPr>
  </w:style>
  <w:style w:type="paragraph" w:styleId="1342">
    <w:name w:val="Char Char Char Char Char Char Char"/>
    <w:basedOn w:val="1275"/>
    <w:next w:val="1342"/>
    <w:link w:val="1275"/>
    <w:pPr>
      <w:ind w:left="432" w:hanging="432"/>
      <w:jc w:val="center"/>
      <w:tabs>
        <w:tab w:val="left" w:pos="432" w:leader="none"/>
      </w:tabs>
    </w:pPr>
    <w:rPr>
      <w:rFonts w:ascii="仿宋_GB2312" w:hAnsi="仿宋_GB2312" w:eastAsia="仿宋_GB2312"/>
      <w:sz w:val="24"/>
      <w:szCs w:val="24"/>
    </w:rPr>
  </w:style>
  <w:style w:type="paragraph" w:styleId="1343">
    <w:name w:val="正文 A"/>
    <w:next w:val="1343"/>
    <w:link w:val="1275"/>
    <w:pPr>
      <w:jc w:val="both"/>
      <w:widowControl w:val="off"/>
    </w:pPr>
    <w:rPr>
      <w:rFonts w:eastAsia="Times New Roman"/>
      <w:color w:val="000000"/>
      <w:sz w:val="21"/>
      <w:szCs w:val="21"/>
      <w:lang w:val="en-US" w:eastAsia="zh-CN" w:bidi="ar-SA"/>
    </w:rPr>
  </w:style>
  <w:style w:type="paragraph" w:styleId="1344">
    <w:name w:val="正文_0"/>
    <w:next w:val="1344"/>
    <w:link w:val="1275"/>
    <w:qFormat/>
    <w:pPr>
      <w:jc w:val="both"/>
      <w:widowControl w:val="off"/>
    </w:pPr>
    <w:rPr>
      <w:rFonts w:ascii="Calibri" w:hAnsi="Calibri"/>
      <w:lang w:val="en-US" w:eastAsia="zh-CN" w:bidi="ar-SA"/>
    </w:rPr>
  </w:style>
  <w:style w:type="paragraph" w:styleId="1345">
    <w:name w:val="正文2"/>
    <w:next w:val="1345"/>
    <w:link w:val="1275"/>
    <w:qFormat/>
    <w:rPr>
      <w:rFonts w:eastAsia="Times New Roman"/>
      <w:sz w:val="24"/>
      <w:szCs w:val="24"/>
      <w:lang w:val="en-US" w:eastAsia="zh-CN" w:bidi="ar-SA"/>
    </w:rPr>
  </w:style>
  <w:style w:type="paragraph" w:styleId="1346">
    <w:name w:val="标准文本"/>
    <w:basedOn w:val="1275"/>
    <w:next w:val="1346"/>
    <w:link w:val="1275"/>
    <w:pPr>
      <w:ind w:firstLine="200"/>
      <w:spacing w:line="300" w:lineRule="auto"/>
    </w:pPr>
    <w:rPr>
      <w:rFonts w:ascii="宋体" w:cs="宋体"/>
      <w:szCs w:val="21"/>
      <w:lang w:bidi="ar-SA"/>
    </w:rPr>
  </w:style>
  <w:style w:type="paragraph" w:styleId="1347">
    <w:name w:val="_Style 8"/>
    <w:basedOn w:val="1275"/>
    <w:next w:val="1337"/>
    <w:link w:val="1275"/>
    <w:uiPriority w:val="34"/>
    <w:qFormat/>
    <w:pPr>
      <w:ind w:firstLine="420"/>
    </w:pPr>
    <w:rPr>
      <w:rFonts w:ascii="Calibri" w:hAnsi="Calibri"/>
      <w:szCs w:val="22"/>
    </w:rPr>
  </w:style>
  <w:style w:type="paragraph" w:styleId="1348">
    <w:name w:val="p0"/>
    <w:basedOn w:val="1275"/>
    <w:next w:val="1348"/>
    <w:link w:val="1275"/>
    <w:pPr>
      <w:widowControl/>
    </w:pPr>
    <w:rPr>
      <w:szCs w:val="21"/>
    </w:rPr>
  </w:style>
  <w:style w:type="paragraph" w:styleId="1349">
    <w:name w:val="正文1"/>
    <w:basedOn w:val="1275"/>
    <w:next w:val="1349"/>
    <w:link w:val="1275"/>
    <w:pPr>
      <w:jc w:val="left"/>
      <w:spacing w:after="200" w:line="300" w:lineRule="atLeast"/>
      <w:widowControl/>
    </w:pPr>
    <w:rPr>
      <w:rFonts w:ascii="Calibri" w:hAnsi="Calibri" w:cs="宋体"/>
      <w:sz w:val="22"/>
      <w:szCs w:val="22"/>
      <w:lang w:bidi="ar-SA"/>
    </w:rPr>
  </w:style>
  <w:style w:type="paragraph" w:styleId="1350">
    <w:name w:val="Table Sub Section"/>
    <w:basedOn w:val="1275"/>
    <w:next w:val="1350"/>
    <w:link w:val="1275"/>
    <w:pPr>
      <w:jc w:val="left"/>
      <w:keepNext/>
      <w:spacing w:before="160" w:after="160" w:line="276" w:lineRule="auto"/>
      <w:widowControl/>
    </w:pPr>
    <w:rPr>
      <w:rFonts w:ascii="Arial" w:hAnsi="Arial"/>
      <w:b/>
      <w:color w:val="0f0f0f"/>
      <w:sz w:val="20"/>
      <w:lang w:eastAsia="en-US"/>
    </w:rPr>
  </w:style>
  <w:style w:type="paragraph" w:styleId="1351">
    <w:name w:val="列出段落1"/>
    <w:basedOn w:val="1275"/>
    <w:next w:val="1351"/>
    <w:link w:val="1275"/>
    <w:pPr>
      <w:ind w:firstLine="200"/>
    </w:pPr>
    <w:rPr>
      <w:rFonts w:ascii="Calibri" w:hAnsi="Calibri"/>
      <w:szCs w:val="22"/>
    </w:rPr>
  </w:style>
  <w:style w:type="paragraph" w:styleId="1352">
    <w:name w:val="yiv1658056056msonormal"/>
    <w:basedOn w:val="1275"/>
    <w:next w:val="1352"/>
    <w:link w:val="1275"/>
    <w:pPr>
      <w:jc w:val="left"/>
      <w:spacing w:before="100" w:beforeAutospacing="1" w:after="100" w:afterAutospacing="1"/>
      <w:widowControl/>
    </w:pPr>
    <w:rPr>
      <w:rFonts w:ascii="宋体" w:cs="宋体"/>
      <w:sz w:val="24"/>
      <w:szCs w:val="24"/>
      <w:lang w:bidi="ar-SA"/>
    </w:rPr>
  </w:style>
  <w:style w:type="paragraph" w:styleId="1353">
    <w:name w:val="Table Paragraph"/>
    <w:basedOn w:val="1275"/>
    <w:next w:val="1353"/>
    <w:link w:val="1275"/>
    <w:pPr>
      <w:jc w:val="left"/>
    </w:pPr>
    <w:rPr>
      <w:sz w:val="22"/>
      <w:lang w:eastAsia="en-US"/>
    </w:rPr>
  </w:style>
  <w:style w:type="paragraph" w:styleId="1354">
    <w:name w:val=" Char Char Char"/>
    <w:basedOn w:val="1275"/>
    <w:next w:val="1354"/>
    <w:link w:val="1275"/>
    <w:pPr>
      <w:jc w:val="center"/>
      <w:spacing w:line="400" w:lineRule="exact"/>
      <w:widowControl/>
    </w:pPr>
    <w:rPr>
      <w:szCs w:val="24"/>
    </w:rPr>
  </w:style>
  <w:style w:type="paragraph" w:styleId="1355">
    <w:name w:val="修订"/>
    <w:next w:val="1355"/>
    <w:link w:val="1275"/>
    <w:uiPriority w:val="99"/>
    <w:semiHidden/>
    <w:rPr>
      <w:sz w:val="21"/>
      <w:lang w:val="en-US" w:eastAsia="zh-CN" w:bidi="ar-SA"/>
    </w:rPr>
  </w:style>
  <w:style w:type="paragraph" w:styleId="1356">
    <w:name w:val="_Style 2"/>
    <w:basedOn w:val="1275"/>
    <w:next w:val="1356"/>
    <w:link w:val="1275"/>
    <w:pPr>
      <w:ind w:firstLine="200"/>
      <w:jc w:val="both"/>
      <w:spacing w:after="0" w:line="240" w:lineRule="auto"/>
      <w:widowControl w:val="off"/>
    </w:pPr>
    <w:rPr>
      <w:rFonts w:ascii="Calibri" w:hAnsi="Calibri" w:eastAsia="宋体" w:cs="Times New Roman"/>
      <w:sz w:val="21"/>
      <w:lang w:bidi="ar-SA"/>
    </w:rPr>
  </w:style>
  <w:style w:type="paragraph" w:styleId="1357">
    <w:name w:val="Normal1"/>
    <w:basedOn w:val="1275"/>
    <w:next w:val="1357"/>
    <w:link w:val="1275"/>
    <w:pPr>
      <w:jc w:val="left"/>
      <w:spacing w:after="200" w:line="300" w:lineRule="atLeast"/>
      <w:widowControl/>
    </w:pPr>
    <w:rPr>
      <w:rFonts w:ascii="Calibri" w:hAnsi="Calibri" w:cs="宋体"/>
      <w:sz w:val="22"/>
      <w:szCs w:val="22"/>
      <w:lang w:bidi="ar-SA"/>
    </w:rPr>
  </w:style>
  <w:style w:type="paragraph" w:styleId="1358">
    <w:name w:val="_Style 10"/>
    <w:basedOn w:val="1275"/>
    <w:next w:val="1337"/>
    <w:link w:val="1275"/>
    <w:uiPriority w:val="34"/>
    <w:qFormat/>
    <w:pPr>
      <w:ind w:firstLine="420"/>
    </w:pPr>
    <w:rPr>
      <w:rFonts w:ascii="Calibri" w:hAnsi="Calibri"/>
      <w:szCs w:val="22"/>
    </w:rPr>
  </w:style>
  <w:style w:type="paragraph" w:styleId="1359">
    <w:name w:val="首行缩进"/>
    <w:next w:val="1359"/>
    <w:link w:val="1275"/>
    <w:qFormat/>
    <w:pPr>
      <w:ind w:firstLine="480"/>
      <w:jc w:val="both"/>
      <w:widowControl w:val="off"/>
    </w:pPr>
    <w:rPr>
      <w:sz w:val="21"/>
      <w:lang w:val="zh-CN" w:eastAsia="zh-CN" w:bidi="ar-SA"/>
    </w:rPr>
  </w:style>
  <w:style w:type="paragraph" w:styleId="1360">
    <w:name w:val="s11"/>
    <w:next w:val="1360"/>
    <w:link w:val="1275"/>
    <w:qFormat/>
    <w:pPr>
      <w:spacing w:before="100" w:beforeAutospacing="1" w:after="100" w:afterAutospacing="1"/>
    </w:pPr>
    <w:rPr>
      <w:rFonts w:ascii="宋体" w:hAnsi="宋体" w:cs="宋体"/>
      <w:sz w:val="24"/>
      <w:szCs w:val="24"/>
      <w:lang w:val="en-US" w:eastAsia="zh-CN" w:bidi="ar-SA"/>
    </w:rPr>
  </w:style>
  <w:style w:type="paragraph" w:styleId="1361">
    <w:name w:val="s13"/>
    <w:next w:val="1361"/>
    <w:link w:val="1275"/>
    <w:pPr>
      <w:spacing w:before="100" w:beforeAutospacing="1" w:after="100" w:afterAutospacing="1"/>
    </w:pPr>
    <w:rPr>
      <w:rFonts w:ascii="宋体" w:hAnsi="宋体" w:cs="宋体"/>
      <w:sz w:val="24"/>
      <w:szCs w:val="24"/>
      <w:lang w:val="en-US" w:eastAsia="zh-CN" w:bidi="ar-SA"/>
    </w:rPr>
  </w:style>
  <w:style w:type="paragraph" w:styleId="1362">
    <w:name w:val="s16"/>
    <w:next w:val="1362"/>
    <w:link w:val="1275"/>
    <w:pPr>
      <w:spacing w:before="100" w:beforeAutospacing="1" w:after="100" w:afterAutospacing="1"/>
    </w:pPr>
    <w:rPr>
      <w:rFonts w:ascii="宋体" w:hAnsi="宋体" w:cs="宋体"/>
      <w:sz w:val="24"/>
      <w:szCs w:val="24"/>
      <w:lang w:val="en-US" w:eastAsia="zh-CN" w:bidi="ar-SA"/>
    </w:rPr>
  </w:style>
  <w:style w:type="paragraph" w:styleId="1363">
    <w:name w:val="s17"/>
    <w:next w:val="1363"/>
    <w:link w:val="1275"/>
    <w:pPr>
      <w:spacing w:before="100" w:beforeAutospacing="1" w:after="100" w:afterAutospacing="1"/>
    </w:pPr>
    <w:rPr>
      <w:rFonts w:ascii="宋体" w:hAnsi="宋体" w:cs="宋体"/>
      <w:sz w:val="24"/>
      <w:szCs w:val="24"/>
      <w:lang w:val="en-US" w:eastAsia="zh-CN" w:bidi="ar-SA"/>
    </w:rPr>
  </w:style>
  <w:style w:type="paragraph" w:styleId="1364">
    <w:name w:val="正文 New"/>
    <w:next w:val="1364"/>
    <w:link w:val="1275"/>
    <w:pPr>
      <w:jc w:val="both"/>
      <w:widowControl w:val="off"/>
    </w:pPr>
    <w:rPr>
      <w:sz w:val="21"/>
      <w:lang w:val="en-US" w:eastAsia="zh-CN" w:bidi="ar-SA"/>
    </w:rPr>
  </w:style>
  <w:style w:type="paragraph" w:styleId="1365">
    <w:name w:val="正文 New New New"/>
    <w:next w:val="1365"/>
    <w:link w:val="1275"/>
    <w:qFormat/>
    <w:pPr>
      <w:jc w:val="both"/>
      <w:widowControl w:val="off"/>
    </w:pPr>
    <w:rPr>
      <w:sz w:val="21"/>
      <w:lang w:val="en-US" w:eastAsia="zh-CN" w:bidi="ar-SA"/>
    </w:rPr>
  </w:style>
  <w:style w:type="paragraph" w:styleId="1366">
    <w:name w:val="s10"/>
    <w:basedOn w:val="1275"/>
    <w:next w:val="1366"/>
    <w:link w:val="1275"/>
    <w:qFormat/>
    <w:pPr>
      <w:jc w:val="left"/>
      <w:spacing w:before="100" w:beforeAutospacing="1" w:after="100" w:afterAutospacing="1"/>
      <w:widowControl/>
    </w:pPr>
    <w:rPr>
      <w:rFonts w:ascii="宋体" w:hAnsi="宋体" w:cs="宋体"/>
      <w:sz w:val="24"/>
      <w:szCs w:val="24"/>
    </w:rPr>
  </w:style>
  <w:style w:type="character" w:styleId="1367">
    <w:name w:val="font41"/>
    <w:next w:val="1367"/>
    <w:link w:val="1275"/>
    <w:rPr>
      <w:rFonts w:hint="eastAsia" w:ascii="宋体" w:hAnsi="宋体" w:eastAsia="宋体" w:cs="宋体"/>
      <w:i w:val="0"/>
      <w:iCs w:val="0"/>
      <w:color w:val="000000"/>
      <w:sz w:val="20"/>
      <w:szCs w:val="20"/>
      <w:u w:val="none"/>
    </w:rPr>
  </w:style>
  <w:style w:type="character" w:styleId="1368" w:default="1">
    <w:name w:val="Default Paragraph Font"/>
    <w:uiPriority w:val="1"/>
    <w:semiHidden/>
    <w:unhideWhenUsed/>
  </w:style>
  <w:style w:type="numbering" w:styleId="1369" w:default="1">
    <w:name w:val="No List"/>
    <w:uiPriority w:val="99"/>
    <w:semiHidden/>
    <w:unhideWhenUsed/>
  </w:style>
  <w:style w:type="table" w:styleId="13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4</cp:revision>
  <dcterms:created xsi:type="dcterms:W3CDTF">2026-03-05T01:46:00Z</dcterms:created>
  <dcterms:modified xsi:type="dcterms:W3CDTF">2026-03-25T08:06:58Z</dcterms:modified>
</cp:coreProperties>
</file>